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36BD5" w14:textId="6520D1E3" w:rsidR="00EE72B5" w:rsidRPr="002F1C9D" w:rsidRDefault="00EE72B5" w:rsidP="00723EAC">
      <w:pPr>
        <w:contextualSpacing/>
        <w:jc w:val="both"/>
        <w:rPr>
          <w:b/>
          <w:sz w:val="28"/>
          <w:szCs w:val="28"/>
          <w:lang w:val="en-US"/>
        </w:rPr>
      </w:pPr>
      <w:bookmarkStart w:id="0" w:name="_GoBack"/>
      <w:bookmarkEnd w:id="0"/>
    </w:p>
    <w:p w14:paraId="0D90B01B" w14:textId="21403AAC" w:rsidR="006D7066" w:rsidRPr="000A4624" w:rsidRDefault="003475F8" w:rsidP="00723EAC">
      <w:pPr>
        <w:contextualSpacing/>
        <w:jc w:val="center"/>
        <w:rPr>
          <w:b/>
          <w:sz w:val="36"/>
          <w:szCs w:val="36"/>
        </w:rPr>
      </w:pPr>
      <w:r>
        <w:rPr>
          <w:b/>
          <w:sz w:val="36"/>
          <w:szCs w:val="36"/>
        </w:rPr>
        <w:t xml:space="preserve">The ViMM Manifesto Draft </w:t>
      </w:r>
      <w:r w:rsidR="00282805">
        <w:rPr>
          <w:b/>
          <w:sz w:val="36"/>
          <w:szCs w:val="36"/>
        </w:rPr>
        <w:t>2.0</w:t>
      </w:r>
    </w:p>
    <w:p w14:paraId="62412859" w14:textId="31987A4C" w:rsidR="00A13363" w:rsidRDefault="00A13363" w:rsidP="00723EAC">
      <w:pPr>
        <w:pStyle w:val="Heading1"/>
        <w:jc w:val="both"/>
      </w:pPr>
      <w:bookmarkStart w:id="1" w:name="_Toc512355150"/>
      <w:r>
        <w:t>Introduction</w:t>
      </w:r>
      <w:bookmarkEnd w:id="1"/>
    </w:p>
    <w:p w14:paraId="73244B14" w14:textId="64C3C351" w:rsidR="00A13363" w:rsidRDefault="00A13363" w:rsidP="00723EAC">
      <w:pPr>
        <w:contextualSpacing/>
        <w:jc w:val="both"/>
        <w:rPr>
          <w:sz w:val="24"/>
          <w:szCs w:val="24"/>
        </w:rPr>
      </w:pPr>
    </w:p>
    <w:p w14:paraId="227B808E" w14:textId="468CB18B" w:rsidR="006E14D6" w:rsidRPr="006E14D6" w:rsidRDefault="006E14D6" w:rsidP="00723EAC">
      <w:pPr>
        <w:contextualSpacing/>
        <w:jc w:val="both"/>
        <w:rPr>
          <w:i/>
          <w:sz w:val="24"/>
          <w:szCs w:val="24"/>
        </w:rPr>
      </w:pPr>
      <w:r>
        <w:rPr>
          <w:sz w:val="24"/>
          <w:szCs w:val="24"/>
        </w:rPr>
        <w:t xml:space="preserve">This document represents a first draft of the ViMM Manifesto, distilled mainly from the </w:t>
      </w:r>
      <w:r w:rsidR="003A5495">
        <w:rPr>
          <w:sz w:val="24"/>
          <w:szCs w:val="24"/>
        </w:rPr>
        <w:t>S</w:t>
      </w:r>
      <w:r>
        <w:rPr>
          <w:sz w:val="24"/>
          <w:szCs w:val="24"/>
        </w:rPr>
        <w:t xml:space="preserve">ynthesis of Propositions which emerged from the Consensus-building workshop held in Berlin on 12 and 13 April 2018, but with </w:t>
      </w:r>
      <w:r w:rsidR="005E6F38">
        <w:rPr>
          <w:sz w:val="24"/>
          <w:szCs w:val="24"/>
        </w:rPr>
        <w:t xml:space="preserve">a small number of </w:t>
      </w:r>
      <w:r>
        <w:rPr>
          <w:sz w:val="24"/>
          <w:szCs w:val="24"/>
        </w:rPr>
        <w:t xml:space="preserve">additional </w:t>
      </w:r>
      <w:r w:rsidR="005E6F38">
        <w:rPr>
          <w:sz w:val="24"/>
          <w:szCs w:val="24"/>
        </w:rPr>
        <w:t>ideas</w:t>
      </w:r>
      <w:r>
        <w:rPr>
          <w:sz w:val="24"/>
          <w:szCs w:val="24"/>
        </w:rPr>
        <w:t xml:space="preserve"> added</w:t>
      </w:r>
      <w:r w:rsidR="00282805">
        <w:rPr>
          <w:sz w:val="24"/>
          <w:szCs w:val="24"/>
        </w:rPr>
        <w:t xml:space="preserve"> and following further consultation within the ViMM consortium</w:t>
      </w:r>
      <w:r>
        <w:rPr>
          <w:sz w:val="24"/>
          <w:szCs w:val="24"/>
        </w:rPr>
        <w:t xml:space="preserve">. Once finalised, the draft Manifesto will be circulated for consultation to the ViMM/DCH community. The final version following that will become </w:t>
      </w:r>
      <w:r w:rsidRPr="006E14D6">
        <w:rPr>
          <w:i/>
          <w:sz w:val="24"/>
          <w:szCs w:val="24"/>
        </w:rPr>
        <w:t>D7.2 ViMM Manifesto (M23- August 2018).</w:t>
      </w:r>
    </w:p>
    <w:p w14:paraId="645F7349" w14:textId="3CD6939B" w:rsidR="006E14D6" w:rsidRPr="006E14D6" w:rsidRDefault="006E14D6" w:rsidP="00723EAC">
      <w:pPr>
        <w:contextualSpacing/>
        <w:jc w:val="both"/>
        <w:rPr>
          <w:i/>
          <w:sz w:val="24"/>
          <w:szCs w:val="24"/>
        </w:rPr>
      </w:pPr>
    </w:p>
    <w:p w14:paraId="4528E19A" w14:textId="46EC1B34" w:rsidR="006E14D6" w:rsidRDefault="006E14D6" w:rsidP="00723EAC">
      <w:pPr>
        <w:contextualSpacing/>
        <w:jc w:val="both"/>
        <w:rPr>
          <w:sz w:val="24"/>
          <w:szCs w:val="24"/>
        </w:rPr>
      </w:pPr>
      <w:r>
        <w:rPr>
          <w:sz w:val="24"/>
          <w:szCs w:val="24"/>
        </w:rPr>
        <w:t xml:space="preserve">Material from the </w:t>
      </w:r>
      <w:r w:rsidR="003A5495">
        <w:rPr>
          <w:sz w:val="24"/>
          <w:szCs w:val="24"/>
        </w:rPr>
        <w:t>S</w:t>
      </w:r>
      <w:r>
        <w:rPr>
          <w:sz w:val="24"/>
          <w:szCs w:val="24"/>
        </w:rPr>
        <w:t xml:space="preserve">ynthesis of Propositions which is suitable for </w:t>
      </w:r>
      <w:r w:rsidRPr="006E14D6">
        <w:rPr>
          <w:i/>
          <w:sz w:val="24"/>
          <w:szCs w:val="24"/>
        </w:rPr>
        <w:t>D7.3 Action Plan and Roadmap for VM (M25 – October 2018)</w:t>
      </w:r>
      <w:r>
        <w:rPr>
          <w:sz w:val="24"/>
          <w:szCs w:val="24"/>
        </w:rPr>
        <w:t xml:space="preserve"> is</w:t>
      </w:r>
      <w:r w:rsidR="003A5495">
        <w:rPr>
          <w:sz w:val="24"/>
          <w:szCs w:val="24"/>
        </w:rPr>
        <w:t>,</w:t>
      </w:r>
      <w:r>
        <w:rPr>
          <w:sz w:val="24"/>
          <w:szCs w:val="24"/>
        </w:rPr>
        <w:t xml:space="preserve"> </w:t>
      </w:r>
      <w:r w:rsidR="003A5495">
        <w:rPr>
          <w:sz w:val="24"/>
          <w:szCs w:val="24"/>
        </w:rPr>
        <w:t>in general</w:t>
      </w:r>
      <w:r w:rsidR="00012127">
        <w:rPr>
          <w:sz w:val="24"/>
          <w:szCs w:val="24"/>
        </w:rPr>
        <w:t>,</w:t>
      </w:r>
      <w:r w:rsidR="003A5495">
        <w:rPr>
          <w:sz w:val="24"/>
          <w:szCs w:val="24"/>
        </w:rPr>
        <w:t xml:space="preserve"> </w:t>
      </w:r>
      <w:r>
        <w:rPr>
          <w:sz w:val="24"/>
          <w:szCs w:val="24"/>
        </w:rPr>
        <w:t>not included in the draft Manifesto is held back for the first draft Roadmap</w:t>
      </w:r>
      <w:r w:rsidR="006D3148">
        <w:rPr>
          <w:sz w:val="24"/>
          <w:szCs w:val="24"/>
        </w:rPr>
        <w:t>,</w:t>
      </w:r>
      <w:r>
        <w:rPr>
          <w:sz w:val="24"/>
          <w:szCs w:val="24"/>
        </w:rPr>
        <w:t xml:space="preserve"> which will be made available in June 2018, once additional supporting evidence has been considered and incorporated. </w:t>
      </w:r>
    </w:p>
    <w:p w14:paraId="568EBFF2" w14:textId="3D669E0D" w:rsidR="0002275A" w:rsidRDefault="0002275A" w:rsidP="00723EAC">
      <w:pPr>
        <w:contextualSpacing/>
        <w:jc w:val="both"/>
      </w:pPr>
    </w:p>
    <w:p w14:paraId="4823D0BE" w14:textId="0920AE32" w:rsidR="000A4624" w:rsidRDefault="000A4624" w:rsidP="00723EAC">
      <w:pPr>
        <w:contextualSpacing/>
        <w:jc w:val="both"/>
      </w:pPr>
      <w:r>
        <w:br w:type="page"/>
      </w:r>
    </w:p>
    <w:p w14:paraId="0A7E2325" w14:textId="77777777" w:rsidR="000A4624" w:rsidRDefault="000A4624" w:rsidP="00723EAC">
      <w:pPr>
        <w:contextualSpacing/>
        <w:jc w:val="both"/>
        <w:rPr>
          <w:b/>
          <w:sz w:val="36"/>
          <w:szCs w:val="36"/>
        </w:rPr>
      </w:pPr>
    </w:p>
    <w:p w14:paraId="5B81CBE9" w14:textId="01CE5197" w:rsidR="00910A66" w:rsidRPr="00D95E08" w:rsidRDefault="00910A66" w:rsidP="00723EAC">
      <w:pPr>
        <w:pStyle w:val="Heading1"/>
        <w:numPr>
          <w:ilvl w:val="0"/>
          <w:numId w:val="35"/>
        </w:numPr>
        <w:jc w:val="both"/>
      </w:pPr>
      <w:bookmarkStart w:id="2" w:name="_Toc512355151"/>
      <w:bookmarkStart w:id="3" w:name="_Hlk515273759"/>
      <w:r w:rsidRPr="00D95E08">
        <w:t xml:space="preserve">Positioning the </w:t>
      </w:r>
      <w:r w:rsidR="00B14239" w:rsidRPr="00D95E08">
        <w:t>DCH sector</w:t>
      </w:r>
      <w:bookmarkEnd w:id="2"/>
    </w:p>
    <w:p w14:paraId="58BEFA23" w14:textId="0C4AC0FC" w:rsidR="00776FE1" w:rsidRDefault="00776FE1" w:rsidP="00723EAC">
      <w:pPr>
        <w:jc w:val="both"/>
        <w:rPr>
          <w:sz w:val="24"/>
          <w:szCs w:val="24"/>
        </w:rPr>
      </w:pPr>
      <w:bookmarkStart w:id="4" w:name="_Hlk515274189"/>
      <w:bookmarkEnd w:id="3"/>
      <w:r w:rsidRPr="00C3108D">
        <w:rPr>
          <w:sz w:val="24"/>
          <w:szCs w:val="24"/>
        </w:rPr>
        <w:t>Culture is becoming increasingly a precondition of all kinds of economic value generation</w:t>
      </w:r>
      <w:r w:rsidR="003A5495">
        <w:rPr>
          <w:sz w:val="24"/>
          <w:szCs w:val="24"/>
        </w:rPr>
        <w:t>,</w:t>
      </w:r>
      <w:r w:rsidRPr="00C3108D">
        <w:rPr>
          <w:sz w:val="24"/>
          <w:szCs w:val="24"/>
        </w:rPr>
        <w:t xml:space="preserve"> processes driven by two concurrent streams of innovation: digital content production and digital connectivity. </w:t>
      </w:r>
      <w:r w:rsidR="0047497E">
        <w:rPr>
          <w:sz w:val="24"/>
          <w:szCs w:val="24"/>
        </w:rPr>
        <w:t>It is</w:t>
      </w:r>
      <w:r w:rsidR="0047497E" w:rsidRPr="0047497E">
        <w:rPr>
          <w:sz w:val="24"/>
          <w:szCs w:val="24"/>
        </w:rPr>
        <w:t xml:space="preserve"> critical to Europe’s economy and society in the context of future funding programmes</w:t>
      </w:r>
      <w:r w:rsidR="0047497E">
        <w:rPr>
          <w:sz w:val="24"/>
          <w:szCs w:val="24"/>
        </w:rPr>
        <w:t xml:space="preserve"> that</w:t>
      </w:r>
      <w:r w:rsidR="0047497E" w:rsidRPr="0047497E">
        <w:rPr>
          <w:sz w:val="24"/>
          <w:szCs w:val="24"/>
        </w:rPr>
        <w:t xml:space="preserve"> </w:t>
      </w:r>
      <w:r w:rsidR="003A5495">
        <w:rPr>
          <w:sz w:val="24"/>
          <w:szCs w:val="24"/>
        </w:rPr>
        <w:t>v</w:t>
      </w:r>
      <w:r w:rsidRPr="00C3108D">
        <w:rPr>
          <w:sz w:val="24"/>
          <w:szCs w:val="24"/>
        </w:rPr>
        <w:t>irtual museums</w:t>
      </w:r>
      <w:r w:rsidR="00F96785">
        <w:rPr>
          <w:sz w:val="24"/>
          <w:szCs w:val="24"/>
        </w:rPr>
        <w:t xml:space="preserve"> and</w:t>
      </w:r>
      <w:r w:rsidRPr="00C3108D">
        <w:rPr>
          <w:sz w:val="24"/>
          <w:szCs w:val="24"/>
        </w:rPr>
        <w:t xml:space="preserve"> Digital Cultural Heritage (DCH) in genera</w:t>
      </w:r>
      <w:r w:rsidR="003A5495">
        <w:rPr>
          <w:sz w:val="24"/>
          <w:szCs w:val="24"/>
        </w:rPr>
        <w:t>l</w:t>
      </w:r>
      <w:r w:rsidR="00956D82" w:rsidRPr="00C3108D">
        <w:rPr>
          <w:sz w:val="24"/>
          <w:szCs w:val="24"/>
        </w:rPr>
        <w:t>,</w:t>
      </w:r>
      <w:r w:rsidRPr="00C3108D">
        <w:rPr>
          <w:sz w:val="24"/>
          <w:szCs w:val="24"/>
        </w:rPr>
        <w:t xml:space="preserve"> </w:t>
      </w:r>
      <w:r w:rsidR="0047497E">
        <w:rPr>
          <w:sz w:val="24"/>
          <w:szCs w:val="24"/>
        </w:rPr>
        <w:t xml:space="preserve">are </w:t>
      </w:r>
      <w:r w:rsidRPr="00C3108D">
        <w:rPr>
          <w:sz w:val="24"/>
          <w:szCs w:val="24"/>
        </w:rPr>
        <w:t xml:space="preserve">positioned and described to benefit from well-structured investment at the EU, </w:t>
      </w:r>
      <w:r w:rsidR="00012127" w:rsidRPr="00C3108D">
        <w:rPr>
          <w:sz w:val="24"/>
          <w:szCs w:val="24"/>
        </w:rPr>
        <w:t>national</w:t>
      </w:r>
      <w:r w:rsidR="00012127">
        <w:rPr>
          <w:sz w:val="24"/>
          <w:szCs w:val="24"/>
        </w:rPr>
        <w:t>,</w:t>
      </w:r>
      <w:r w:rsidR="00012127" w:rsidRPr="00C3108D">
        <w:rPr>
          <w:sz w:val="24"/>
          <w:szCs w:val="24"/>
        </w:rPr>
        <w:t xml:space="preserve"> regional</w:t>
      </w:r>
      <w:r w:rsidRPr="00C3108D">
        <w:rPr>
          <w:sz w:val="24"/>
          <w:szCs w:val="24"/>
        </w:rPr>
        <w:t xml:space="preserve"> </w:t>
      </w:r>
      <w:r w:rsidR="003A5495">
        <w:rPr>
          <w:sz w:val="24"/>
          <w:szCs w:val="24"/>
        </w:rPr>
        <w:t xml:space="preserve">and local </w:t>
      </w:r>
      <w:r w:rsidRPr="00C3108D">
        <w:rPr>
          <w:sz w:val="24"/>
          <w:szCs w:val="24"/>
        </w:rPr>
        <w:t>level</w:t>
      </w:r>
      <w:r w:rsidR="003A5495">
        <w:rPr>
          <w:sz w:val="24"/>
          <w:szCs w:val="24"/>
        </w:rPr>
        <w:t>s</w:t>
      </w:r>
      <w:r w:rsidRPr="00C3108D">
        <w:rPr>
          <w:sz w:val="24"/>
          <w:szCs w:val="24"/>
        </w:rPr>
        <w:t xml:space="preserve">. </w:t>
      </w:r>
    </w:p>
    <w:p w14:paraId="2ADA3B5F" w14:textId="16A6AC3B" w:rsidR="00DA60FB" w:rsidRPr="00C3108D" w:rsidRDefault="00DA60FB" w:rsidP="00723EAC">
      <w:pPr>
        <w:jc w:val="both"/>
        <w:rPr>
          <w:sz w:val="24"/>
          <w:szCs w:val="24"/>
        </w:rPr>
      </w:pPr>
      <w:r w:rsidRPr="00DA60FB">
        <w:rPr>
          <w:sz w:val="24"/>
          <w:szCs w:val="24"/>
        </w:rPr>
        <w:t>Culture - and the heritage which derives from it - is an economic and social asset. The ideas defined for Culture 3.0</w:t>
      </w:r>
      <w:r w:rsidR="00767BE7">
        <w:rPr>
          <w:rStyle w:val="FootnoteReference"/>
          <w:sz w:val="24"/>
          <w:szCs w:val="24"/>
        </w:rPr>
        <w:footnoteReference w:id="1"/>
      </w:r>
      <w:r w:rsidRPr="00DA60FB">
        <w:rPr>
          <w:sz w:val="24"/>
          <w:szCs w:val="24"/>
        </w:rPr>
        <w:t xml:space="preserve"> have identified key links with innovation, welfare, sustainability, social cohesion, new entrepreneurship, soft power, local identity and the knowledge economy.  Policies are needed leading to initiatives which gain maximum effect, moving from public patronage to a system-wide competitiveness strategy through strategic investment.</w:t>
      </w:r>
    </w:p>
    <w:p w14:paraId="21B92D39" w14:textId="258B22AD" w:rsidR="0047497E" w:rsidRDefault="006D7066" w:rsidP="00723EAC">
      <w:pPr>
        <w:jc w:val="both"/>
      </w:pPr>
      <w:r w:rsidRPr="00C3108D">
        <w:rPr>
          <w:sz w:val="24"/>
          <w:szCs w:val="24"/>
        </w:rPr>
        <w:t xml:space="preserve">Society becomes </w:t>
      </w:r>
      <w:r w:rsidR="00C3108D">
        <w:rPr>
          <w:sz w:val="24"/>
          <w:szCs w:val="24"/>
        </w:rPr>
        <w:t xml:space="preserve">increasingly </w:t>
      </w:r>
      <w:r w:rsidRPr="00C3108D">
        <w:rPr>
          <w:sz w:val="24"/>
          <w:szCs w:val="24"/>
        </w:rPr>
        <w:t xml:space="preserve">technology driven: </w:t>
      </w:r>
      <w:r w:rsidR="0010668C">
        <w:rPr>
          <w:sz w:val="24"/>
          <w:szCs w:val="24"/>
        </w:rPr>
        <w:t>c</w:t>
      </w:r>
      <w:r w:rsidR="001B4EA6" w:rsidRPr="00C3108D">
        <w:rPr>
          <w:sz w:val="24"/>
          <w:szCs w:val="24"/>
        </w:rPr>
        <w:t xml:space="preserve">ultural </w:t>
      </w:r>
      <w:r w:rsidR="00C3108D">
        <w:rPr>
          <w:sz w:val="24"/>
          <w:szCs w:val="24"/>
        </w:rPr>
        <w:t>h</w:t>
      </w:r>
      <w:r w:rsidR="001B4EA6" w:rsidRPr="00C3108D">
        <w:rPr>
          <w:sz w:val="24"/>
          <w:szCs w:val="24"/>
        </w:rPr>
        <w:t xml:space="preserve">eritage </w:t>
      </w:r>
      <w:r w:rsidRPr="00C3108D">
        <w:rPr>
          <w:sz w:val="24"/>
          <w:szCs w:val="24"/>
        </w:rPr>
        <w:t xml:space="preserve">organisations </w:t>
      </w:r>
      <w:r w:rsidR="001B4EA6" w:rsidRPr="00C3108D">
        <w:rPr>
          <w:sz w:val="24"/>
          <w:szCs w:val="24"/>
        </w:rPr>
        <w:t xml:space="preserve">must </w:t>
      </w:r>
      <w:r w:rsidRPr="00C3108D">
        <w:rPr>
          <w:sz w:val="24"/>
          <w:szCs w:val="24"/>
        </w:rPr>
        <w:t>adapt</w:t>
      </w:r>
      <w:r w:rsidR="001B4EA6" w:rsidRPr="00C3108D">
        <w:rPr>
          <w:sz w:val="24"/>
          <w:szCs w:val="24"/>
        </w:rPr>
        <w:t xml:space="preserve"> and become engaged with this</w:t>
      </w:r>
      <w:r w:rsidR="00C3108D">
        <w:rPr>
          <w:sz w:val="24"/>
          <w:szCs w:val="24"/>
        </w:rPr>
        <w:t xml:space="preserve"> development</w:t>
      </w:r>
      <w:r w:rsidR="00FA26D0" w:rsidRPr="00C3108D">
        <w:rPr>
          <w:sz w:val="24"/>
          <w:szCs w:val="24"/>
        </w:rPr>
        <w:t xml:space="preserve">. </w:t>
      </w:r>
      <w:r w:rsidRPr="00C3108D">
        <w:rPr>
          <w:sz w:val="24"/>
          <w:szCs w:val="24"/>
        </w:rPr>
        <w:t xml:space="preserve"> </w:t>
      </w:r>
      <w:r w:rsidR="00FA26D0" w:rsidRPr="00C3108D">
        <w:rPr>
          <w:sz w:val="24"/>
          <w:szCs w:val="24"/>
        </w:rPr>
        <w:t>Clear and tangible policies are needed from governments and management</w:t>
      </w:r>
      <w:r w:rsidR="003A5495">
        <w:rPr>
          <w:sz w:val="24"/>
          <w:szCs w:val="24"/>
        </w:rPr>
        <w:t>s</w:t>
      </w:r>
      <w:r w:rsidR="00FA26D0" w:rsidRPr="00C3108D">
        <w:rPr>
          <w:sz w:val="24"/>
          <w:szCs w:val="24"/>
        </w:rPr>
        <w:t xml:space="preserve"> of cultural heritage institutions. </w:t>
      </w:r>
      <w:r w:rsidR="0047497E" w:rsidRPr="0047497E">
        <w:rPr>
          <w:sz w:val="24"/>
          <w:szCs w:val="24"/>
        </w:rPr>
        <w:t>The conceptuali</w:t>
      </w:r>
      <w:r w:rsidR="003A5495">
        <w:rPr>
          <w:sz w:val="24"/>
          <w:szCs w:val="24"/>
        </w:rPr>
        <w:t>s</w:t>
      </w:r>
      <w:r w:rsidR="0047497E" w:rsidRPr="0047497E">
        <w:rPr>
          <w:sz w:val="24"/>
          <w:szCs w:val="24"/>
        </w:rPr>
        <w:t xml:space="preserve">ation of virtual museums, as promoted by ViMM, should be further developed to generate relevant policies, inspire novel implementations and to stimulate </w:t>
      </w:r>
      <w:r w:rsidR="00012127" w:rsidRPr="0047497E">
        <w:rPr>
          <w:sz w:val="24"/>
          <w:szCs w:val="24"/>
        </w:rPr>
        <w:t>investment</w:t>
      </w:r>
      <w:r w:rsidR="00012127">
        <w:rPr>
          <w:sz w:val="24"/>
          <w:szCs w:val="24"/>
        </w:rPr>
        <w:t>.</w:t>
      </w:r>
      <w:r w:rsidR="0047497E" w:rsidRPr="0047497E">
        <w:t xml:space="preserve"> </w:t>
      </w:r>
    </w:p>
    <w:p w14:paraId="0CBF4225" w14:textId="3C7A6FB8" w:rsidR="00B14239" w:rsidRPr="00C3108D" w:rsidRDefault="00B2000D" w:rsidP="00723EAC">
      <w:pPr>
        <w:jc w:val="both"/>
        <w:rPr>
          <w:sz w:val="24"/>
          <w:szCs w:val="24"/>
        </w:rPr>
      </w:pPr>
      <w:r w:rsidRPr="00C3108D">
        <w:rPr>
          <w:sz w:val="24"/>
          <w:szCs w:val="24"/>
        </w:rPr>
        <w:t xml:space="preserve"> In order to improve cost/impact efficiency and achieve greater sustainability</w:t>
      </w:r>
      <w:r w:rsidR="00C3108D">
        <w:rPr>
          <w:sz w:val="24"/>
          <w:szCs w:val="24"/>
        </w:rPr>
        <w:t>,</w:t>
      </w:r>
      <w:r w:rsidRPr="00C3108D">
        <w:rPr>
          <w:sz w:val="24"/>
          <w:szCs w:val="24"/>
        </w:rPr>
        <w:t xml:space="preserve"> effective operational and business planning is needed. </w:t>
      </w:r>
      <w:r w:rsidR="003A5495" w:rsidRPr="003A5495">
        <w:rPr>
          <w:sz w:val="24"/>
          <w:szCs w:val="24"/>
        </w:rPr>
        <w:t>An important gap can be identified between investments in implementation of digital projects on the one hand and ‘backbone’ actions, on the other</w:t>
      </w:r>
      <w:r w:rsidR="002F1C9D">
        <w:rPr>
          <w:sz w:val="24"/>
          <w:szCs w:val="24"/>
        </w:rPr>
        <w:t>.</w:t>
      </w:r>
      <w:bookmarkEnd w:id="4"/>
    </w:p>
    <w:p w14:paraId="7A933C45" w14:textId="05BFA2D5" w:rsidR="0064772D" w:rsidRDefault="00193269" w:rsidP="00723EAC">
      <w:pPr>
        <w:jc w:val="both"/>
        <w:rPr>
          <w:sz w:val="24"/>
          <w:szCs w:val="24"/>
        </w:rPr>
      </w:pPr>
      <w:r w:rsidRPr="00193269">
        <w:rPr>
          <w:sz w:val="24"/>
          <w:szCs w:val="24"/>
        </w:rPr>
        <w:t xml:space="preserve">Synergies between EU policies </w:t>
      </w:r>
      <w:r w:rsidR="009C77F4">
        <w:rPr>
          <w:sz w:val="24"/>
          <w:szCs w:val="24"/>
        </w:rPr>
        <w:t xml:space="preserve">(such as the global challenges) </w:t>
      </w:r>
      <w:r w:rsidRPr="00193269">
        <w:rPr>
          <w:sz w:val="24"/>
          <w:szCs w:val="24"/>
        </w:rPr>
        <w:t>and strategies for DCH and those of key international organisations and leading players in the CH field</w:t>
      </w:r>
      <w:r w:rsidR="00D333E3">
        <w:rPr>
          <w:sz w:val="24"/>
          <w:szCs w:val="24"/>
        </w:rPr>
        <w:t>, listed on the ViMM Platform</w:t>
      </w:r>
      <w:r w:rsidR="000F54A3">
        <w:rPr>
          <w:sz w:val="24"/>
          <w:szCs w:val="24"/>
        </w:rPr>
        <w:t xml:space="preserve">, </w:t>
      </w:r>
      <w:r w:rsidR="000F54A3" w:rsidRPr="006D3148">
        <w:rPr>
          <w:sz w:val="24"/>
          <w:szCs w:val="24"/>
        </w:rPr>
        <w:t>such as UNESCO’s global goals</w:t>
      </w:r>
      <w:r w:rsidR="000F54A3">
        <w:rPr>
          <w:sz w:val="24"/>
          <w:szCs w:val="24"/>
        </w:rPr>
        <w:t>,</w:t>
      </w:r>
      <w:r w:rsidRPr="00193269">
        <w:rPr>
          <w:sz w:val="24"/>
          <w:szCs w:val="24"/>
        </w:rPr>
        <w:t xml:space="preserve"> should be leveraged for maximum advantage.</w:t>
      </w:r>
      <w:r w:rsidR="0064772D" w:rsidRPr="0064772D">
        <w:t xml:space="preserve"> </w:t>
      </w:r>
      <w:r w:rsidR="00D333E3" w:rsidRPr="00D333E3">
        <w:rPr>
          <w:sz w:val="24"/>
          <w:szCs w:val="24"/>
        </w:rPr>
        <w:t>In this context</w:t>
      </w:r>
      <w:r w:rsidR="00D333E3">
        <w:t xml:space="preserve">, </w:t>
      </w:r>
      <w:r w:rsidR="0064772D" w:rsidRPr="0064772D">
        <w:rPr>
          <w:sz w:val="24"/>
          <w:szCs w:val="24"/>
        </w:rPr>
        <w:t xml:space="preserve">ViMM </w:t>
      </w:r>
      <w:r w:rsidR="00D333E3">
        <w:rPr>
          <w:sz w:val="24"/>
          <w:szCs w:val="24"/>
        </w:rPr>
        <w:t>acknowledges strategic documents such as:</w:t>
      </w:r>
    </w:p>
    <w:p w14:paraId="5B2FF363" w14:textId="5A1FFDE6" w:rsidR="0064772D" w:rsidRPr="00D333E3" w:rsidRDefault="0064772D" w:rsidP="00723EAC">
      <w:pPr>
        <w:pStyle w:val="ListParagraph"/>
        <w:numPr>
          <w:ilvl w:val="0"/>
          <w:numId w:val="37"/>
        </w:numPr>
        <w:spacing w:after="0"/>
        <w:jc w:val="both"/>
        <w:rPr>
          <w:sz w:val="24"/>
          <w:szCs w:val="24"/>
        </w:rPr>
      </w:pPr>
      <w:r w:rsidRPr="00D333E3">
        <w:rPr>
          <w:sz w:val="24"/>
          <w:szCs w:val="24"/>
        </w:rPr>
        <w:t>the ICOM New Strategic Plan 2016 - 2022</w:t>
      </w:r>
      <w:r>
        <w:rPr>
          <w:rStyle w:val="FootnoteReference"/>
          <w:sz w:val="24"/>
          <w:szCs w:val="24"/>
        </w:rPr>
        <w:footnoteReference w:id="2"/>
      </w:r>
      <w:r w:rsidRPr="00D333E3">
        <w:rPr>
          <w:sz w:val="24"/>
          <w:szCs w:val="24"/>
        </w:rPr>
        <w:t xml:space="preserve"> </w:t>
      </w:r>
    </w:p>
    <w:p w14:paraId="0CF9BD7C" w14:textId="77777777" w:rsidR="0064772D" w:rsidRPr="00D333E3" w:rsidRDefault="0064772D" w:rsidP="00723EAC">
      <w:pPr>
        <w:pStyle w:val="ListParagraph"/>
        <w:numPr>
          <w:ilvl w:val="0"/>
          <w:numId w:val="37"/>
        </w:numPr>
        <w:spacing w:after="0"/>
        <w:jc w:val="both"/>
        <w:rPr>
          <w:sz w:val="24"/>
          <w:szCs w:val="24"/>
        </w:rPr>
      </w:pPr>
      <w:r w:rsidRPr="00D333E3">
        <w:rPr>
          <w:sz w:val="24"/>
          <w:szCs w:val="24"/>
        </w:rPr>
        <w:t>the ICOMOS future strategic plan: The World Heritage List: Filling the gaps - an action plan for the future</w:t>
      </w:r>
      <w:r>
        <w:rPr>
          <w:rStyle w:val="FootnoteReference"/>
          <w:sz w:val="24"/>
          <w:szCs w:val="24"/>
        </w:rPr>
        <w:footnoteReference w:id="3"/>
      </w:r>
      <w:r w:rsidRPr="00D333E3">
        <w:rPr>
          <w:sz w:val="24"/>
          <w:szCs w:val="24"/>
        </w:rPr>
        <w:t xml:space="preserve"> </w:t>
      </w:r>
    </w:p>
    <w:p w14:paraId="24D43768" w14:textId="71BEDEA3" w:rsidR="0064772D" w:rsidRPr="00D333E3" w:rsidRDefault="0064772D" w:rsidP="00723EAC">
      <w:pPr>
        <w:pStyle w:val="ListParagraph"/>
        <w:numPr>
          <w:ilvl w:val="0"/>
          <w:numId w:val="37"/>
        </w:numPr>
        <w:spacing w:after="0"/>
        <w:jc w:val="both"/>
        <w:rPr>
          <w:sz w:val="24"/>
          <w:szCs w:val="24"/>
        </w:rPr>
      </w:pPr>
      <w:r w:rsidRPr="00D333E3">
        <w:rPr>
          <w:sz w:val="24"/>
          <w:szCs w:val="24"/>
        </w:rPr>
        <w:t>The Action Plan 2015-2017 - Network of European Museum Organisation</w:t>
      </w:r>
      <w:r>
        <w:rPr>
          <w:rStyle w:val="FootnoteReference"/>
          <w:sz w:val="24"/>
          <w:szCs w:val="24"/>
        </w:rPr>
        <w:footnoteReference w:id="4"/>
      </w:r>
      <w:r w:rsidRPr="00D333E3">
        <w:rPr>
          <w:sz w:val="24"/>
          <w:szCs w:val="24"/>
        </w:rPr>
        <w:t xml:space="preserve"> </w:t>
      </w:r>
    </w:p>
    <w:p w14:paraId="48535F4D" w14:textId="3F369389" w:rsidR="0064772D" w:rsidRPr="00D333E3" w:rsidRDefault="0064772D" w:rsidP="00723EAC">
      <w:pPr>
        <w:pStyle w:val="ListParagraph"/>
        <w:numPr>
          <w:ilvl w:val="0"/>
          <w:numId w:val="37"/>
        </w:numPr>
        <w:spacing w:after="0"/>
        <w:jc w:val="both"/>
        <w:rPr>
          <w:sz w:val="24"/>
          <w:szCs w:val="24"/>
        </w:rPr>
      </w:pPr>
      <w:r w:rsidRPr="00D333E3">
        <w:rPr>
          <w:sz w:val="24"/>
          <w:szCs w:val="24"/>
        </w:rPr>
        <w:lastRenderedPageBreak/>
        <w:t>the Strategy for the Reinforcement of UNESCO’s Action for the Protection of Culture and the Promotion of Cultural Pluralism in the Event of Armed Conflict</w:t>
      </w:r>
      <w:r>
        <w:rPr>
          <w:rStyle w:val="FootnoteReference"/>
          <w:sz w:val="24"/>
          <w:szCs w:val="24"/>
        </w:rPr>
        <w:footnoteReference w:id="5"/>
      </w:r>
    </w:p>
    <w:p w14:paraId="6482CFDC" w14:textId="716E6A46" w:rsidR="00E77EF4" w:rsidRPr="00D333E3" w:rsidRDefault="0064772D" w:rsidP="00723EAC">
      <w:pPr>
        <w:pStyle w:val="ListParagraph"/>
        <w:numPr>
          <w:ilvl w:val="0"/>
          <w:numId w:val="37"/>
        </w:numPr>
        <w:spacing w:after="0"/>
        <w:jc w:val="both"/>
        <w:rPr>
          <w:b/>
          <w:sz w:val="24"/>
          <w:szCs w:val="24"/>
        </w:rPr>
      </w:pPr>
      <w:r w:rsidRPr="00D333E3">
        <w:rPr>
          <w:sz w:val="24"/>
          <w:szCs w:val="24"/>
        </w:rPr>
        <w:t>the Europeana future strategic plan</w:t>
      </w:r>
      <w:r>
        <w:rPr>
          <w:rStyle w:val="FootnoteReference"/>
          <w:sz w:val="24"/>
          <w:szCs w:val="24"/>
        </w:rPr>
        <w:footnoteReference w:id="6"/>
      </w:r>
      <w:r w:rsidRPr="00D333E3">
        <w:rPr>
          <w:sz w:val="24"/>
          <w:szCs w:val="24"/>
        </w:rPr>
        <w:t xml:space="preserve"> </w:t>
      </w:r>
    </w:p>
    <w:p w14:paraId="17EF77CF" w14:textId="73B3C8AD" w:rsidR="00B14239" w:rsidRPr="00D95E08" w:rsidRDefault="002F7B98" w:rsidP="00723EAC">
      <w:pPr>
        <w:pStyle w:val="Heading1"/>
        <w:numPr>
          <w:ilvl w:val="0"/>
          <w:numId w:val="35"/>
        </w:numPr>
        <w:jc w:val="both"/>
      </w:pPr>
      <w:bookmarkStart w:id="5" w:name="_Toc512355152"/>
      <w:bookmarkStart w:id="6" w:name="_Hlk515273781"/>
      <w:r>
        <w:t>Improving a</w:t>
      </w:r>
      <w:r w:rsidR="006D3148">
        <w:t>udience p</w:t>
      </w:r>
      <w:r w:rsidR="00B14239" w:rsidRPr="00D95E08">
        <w:t>articipat</w:t>
      </w:r>
      <w:r w:rsidR="006D3148">
        <w:t>i</w:t>
      </w:r>
      <w:r w:rsidR="00B14239" w:rsidRPr="00D95E08">
        <w:t>o</w:t>
      </w:r>
      <w:r w:rsidR="006D3148">
        <w:t>n</w:t>
      </w:r>
      <w:bookmarkEnd w:id="5"/>
      <w:r w:rsidR="006D4C52" w:rsidRPr="00D95E08">
        <w:t xml:space="preserve"> </w:t>
      </w:r>
    </w:p>
    <w:bookmarkEnd w:id="6"/>
    <w:p w14:paraId="2844CE66" w14:textId="23AE8AD5" w:rsidR="00F96785" w:rsidRDefault="00F96785" w:rsidP="00723EAC">
      <w:pPr>
        <w:jc w:val="both"/>
        <w:rPr>
          <w:sz w:val="24"/>
          <w:szCs w:val="24"/>
        </w:rPr>
      </w:pPr>
      <w:r w:rsidRPr="00F96785">
        <w:rPr>
          <w:sz w:val="24"/>
          <w:szCs w:val="24"/>
        </w:rPr>
        <w:t xml:space="preserve">There is a clear need to identify and classify </w:t>
      </w:r>
      <w:r w:rsidR="003A5495">
        <w:rPr>
          <w:sz w:val="24"/>
          <w:szCs w:val="24"/>
        </w:rPr>
        <w:t xml:space="preserve">in more depth </w:t>
      </w:r>
      <w:r w:rsidRPr="00F96785">
        <w:rPr>
          <w:sz w:val="24"/>
          <w:szCs w:val="24"/>
        </w:rPr>
        <w:t xml:space="preserve">the target audiences who </w:t>
      </w:r>
      <w:r>
        <w:rPr>
          <w:sz w:val="24"/>
          <w:szCs w:val="24"/>
        </w:rPr>
        <w:t xml:space="preserve">can </w:t>
      </w:r>
      <w:r w:rsidRPr="00F96785">
        <w:rPr>
          <w:sz w:val="24"/>
          <w:szCs w:val="24"/>
        </w:rPr>
        <w:t xml:space="preserve">benefit from DCH. A sustainable future for Digital Cultural Heritage will benefit greatly from a wide sense of ownership and involvement </w:t>
      </w:r>
      <w:r w:rsidR="003A5495">
        <w:rPr>
          <w:sz w:val="24"/>
          <w:szCs w:val="24"/>
        </w:rPr>
        <w:t>by</w:t>
      </w:r>
      <w:r w:rsidRPr="00F96785">
        <w:rPr>
          <w:sz w:val="24"/>
          <w:szCs w:val="24"/>
        </w:rPr>
        <w:t xml:space="preserve"> the communities concerned</w:t>
      </w:r>
      <w:r w:rsidR="003A5495">
        <w:rPr>
          <w:sz w:val="24"/>
          <w:szCs w:val="24"/>
        </w:rPr>
        <w:t>.</w:t>
      </w:r>
      <w:r w:rsidRPr="00F96785">
        <w:rPr>
          <w:sz w:val="24"/>
          <w:szCs w:val="24"/>
        </w:rPr>
        <w:t xml:space="preserve"> As DCH initiatives apply global strategies, they should take steps to increase the social and economic benefits for these communities, such as the involvement of schools, inclusion of minorities, increased accessibility and engagement of local enterprises in product promotion and open conten</w:t>
      </w:r>
      <w:r>
        <w:rPr>
          <w:sz w:val="24"/>
          <w:szCs w:val="24"/>
        </w:rPr>
        <w:t>t.</w:t>
      </w:r>
    </w:p>
    <w:p w14:paraId="73CA0171" w14:textId="77777777" w:rsidR="00F96785" w:rsidRDefault="00F96785" w:rsidP="00723EAC">
      <w:pPr>
        <w:jc w:val="both"/>
        <w:rPr>
          <w:sz w:val="24"/>
          <w:szCs w:val="24"/>
        </w:rPr>
      </w:pPr>
      <w:bookmarkStart w:id="7" w:name="_Hlk515277093"/>
      <w:r w:rsidRPr="00F96785">
        <w:rPr>
          <w:sz w:val="24"/>
          <w:szCs w:val="24"/>
        </w:rPr>
        <w:t xml:space="preserve">It is important that citizens are not restricted to being just consumers of DCH, but that they should be enabled to participate actively and empowered to take ownership of their cultural assets. </w:t>
      </w:r>
    </w:p>
    <w:bookmarkEnd w:id="7"/>
    <w:p w14:paraId="6BF9912E" w14:textId="109976EB" w:rsidR="003A5495" w:rsidRDefault="00F96785" w:rsidP="00723EAC">
      <w:pPr>
        <w:jc w:val="both"/>
      </w:pPr>
      <w:r>
        <w:rPr>
          <w:sz w:val="24"/>
          <w:szCs w:val="24"/>
        </w:rPr>
        <w:t xml:space="preserve">In line </w:t>
      </w:r>
      <w:r w:rsidR="00E77EF4" w:rsidRPr="00E77EF4">
        <w:rPr>
          <w:sz w:val="24"/>
          <w:szCs w:val="24"/>
        </w:rPr>
        <w:t>with the Culture 3.0 concept</w:t>
      </w:r>
      <w:r>
        <w:rPr>
          <w:sz w:val="24"/>
          <w:szCs w:val="24"/>
        </w:rPr>
        <w:t xml:space="preserve"> and in</w:t>
      </w:r>
      <w:r w:rsidR="00F73EF2" w:rsidRPr="00C3108D">
        <w:rPr>
          <w:sz w:val="24"/>
          <w:szCs w:val="24"/>
        </w:rPr>
        <w:t xml:space="preserve"> order to better serve </w:t>
      </w:r>
      <w:r w:rsidR="00E77EF4">
        <w:rPr>
          <w:sz w:val="24"/>
          <w:szCs w:val="24"/>
        </w:rPr>
        <w:t>its</w:t>
      </w:r>
      <w:r w:rsidR="00F73EF2" w:rsidRPr="00C3108D">
        <w:rPr>
          <w:sz w:val="24"/>
          <w:szCs w:val="24"/>
        </w:rPr>
        <w:t xml:space="preserve"> audiences</w:t>
      </w:r>
      <w:r w:rsidR="003A5495">
        <w:rPr>
          <w:sz w:val="24"/>
          <w:szCs w:val="24"/>
        </w:rPr>
        <w:t xml:space="preserve"> and to</w:t>
      </w:r>
      <w:r w:rsidR="00F73EF2" w:rsidRPr="00C3108D">
        <w:rPr>
          <w:sz w:val="24"/>
          <w:szCs w:val="24"/>
        </w:rPr>
        <w:t xml:space="preserve"> maximi</w:t>
      </w:r>
      <w:r w:rsidR="003A5495">
        <w:rPr>
          <w:sz w:val="24"/>
          <w:szCs w:val="24"/>
        </w:rPr>
        <w:t>s</w:t>
      </w:r>
      <w:r w:rsidR="00F73EF2" w:rsidRPr="00C3108D">
        <w:rPr>
          <w:sz w:val="24"/>
          <w:szCs w:val="24"/>
        </w:rPr>
        <w:t xml:space="preserve">e efficiency of economic and social efforts, </w:t>
      </w:r>
      <w:r w:rsidR="00B14239" w:rsidRPr="00C3108D">
        <w:rPr>
          <w:sz w:val="24"/>
          <w:szCs w:val="24"/>
        </w:rPr>
        <w:t xml:space="preserve">the DCH community </w:t>
      </w:r>
      <w:r w:rsidR="00F73EF2" w:rsidRPr="00C3108D">
        <w:rPr>
          <w:sz w:val="24"/>
          <w:szCs w:val="24"/>
        </w:rPr>
        <w:t>need</w:t>
      </w:r>
      <w:r w:rsidR="00B14239" w:rsidRPr="00C3108D">
        <w:rPr>
          <w:sz w:val="24"/>
          <w:szCs w:val="24"/>
        </w:rPr>
        <w:t>s</w:t>
      </w:r>
      <w:r w:rsidR="00F73EF2" w:rsidRPr="00C3108D">
        <w:rPr>
          <w:sz w:val="24"/>
          <w:szCs w:val="24"/>
        </w:rPr>
        <w:t xml:space="preserve"> to</w:t>
      </w:r>
      <w:r>
        <w:rPr>
          <w:sz w:val="24"/>
          <w:szCs w:val="24"/>
        </w:rPr>
        <w:t xml:space="preserve"> </w:t>
      </w:r>
      <w:r w:rsidRPr="00F96785">
        <w:rPr>
          <w:sz w:val="24"/>
          <w:szCs w:val="24"/>
        </w:rPr>
        <w:t>shift towards participatory design strategies</w:t>
      </w:r>
      <w:r>
        <w:rPr>
          <w:sz w:val="24"/>
          <w:szCs w:val="24"/>
        </w:rPr>
        <w:t xml:space="preserve"> and</w:t>
      </w:r>
      <w:r w:rsidRPr="00F96785">
        <w:rPr>
          <w:sz w:val="24"/>
          <w:szCs w:val="24"/>
        </w:rPr>
        <w:t xml:space="preserve"> </w:t>
      </w:r>
      <w:r>
        <w:rPr>
          <w:sz w:val="24"/>
          <w:szCs w:val="24"/>
        </w:rPr>
        <w:t xml:space="preserve">to </w:t>
      </w:r>
      <w:r w:rsidRPr="00F96785">
        <w:rPr>
          <w:sz w:val="24"/>
          <w:szCs w:val="24"/>
        </w:rPr>
        <w:t>move from technology-oriented to user-oriented perspective</w:t>
      </w:r>
      <w:r w:rsidR="00FF6B2F">
        <w:rPr>
          <w:sz w:val="24"/>
          <w:szCs w:val="24"/>
        </w:rPr>
        <w:t>s</w:t>
      </w:r>
      <w:r>
        <w:rPr>
          <w:sz w:val="24"/>
          <w:szCs w:val="24"/>
        </w:rPr>
        <w:t xml:space="preserve">. This involves </w:t>
      </w:r>
      <w:r w:rsidR="00F73EF2" w:rsidRPr="00C3108D">
        <w:rPr>
          <w:sz w:val="24"/>
          <w:szCs w:val="24"/>
        </w:rPr>
        <w:t>map</w:t>
      </w:r>
      <w:r>
        <w:rPr>
          <w:sz w:val="24"/>
          <w:szCs w:val="24"/>
        </w:rPr>
        <w:t>ping</w:t>
      </w:r>
      <w:r w:rsidR="00F73EF2" w:rsidRPr="00C3108D">
        <w:rPr>
          <w:sz w:val="24"/>
          <w:szCs w:val="24"/>
        </w:rPr>
        <w:t xml:space="preserve"> social needs and goals</w:t>
      </w:r>
      <w:r>
        <w:rPr>
          <w:sz w:val="24"/>
          <w:szCs w:val="24"/>
        </w:rPr>
        <w:t xml:space="preserve"> and </w:t>
      </w:r>
      <w:r w:rsidR="00F73EF2" w:rsidRPr="00E77EF4">
        <w:rPr>
          <w:sz w:val="24"/>
          <w:szCs w:val="24"/>
        </w:rPr>
        <w:t>consider</w:t>
      </w:r>
      <w:r>
        <w:rPr>
          <w:sz w:val="24"/>
          <w:szCs w:val="24"/>
        </w:rPr>
        <w:t>ing</w:t>
      </w:r>
      <w:r w:rsidR="00F73EF2" w:rsidRPr="00E77EF4">
        <w:rPr>
          <w:sz w:val="24"/>
          <w:szCs w:val="24"/>
        </w:rPr>
        <w:t xml:space="preserve"> innovation </w:t>
      </w:r>
      <w:r w:rsidR="00E77EF4" w:rsidRPr="00E77EF4">
        <w:rPr>
          <w:sz w:val="24"/>
          <w:szCs w:val="24"/>
        </w:rPr>
        <w:t>not only as the creation of new technology but</w:t>
      </w:r>
      <w:r w:rsidR="00E77EF4">
        <w:rPr>
          <w:sz w:val="24"/>
          <w:szCs w:val="24"/>
        </w:rPr>
        <w:t xml:space="preserve"> </w:t>
      </w:r>
      <w:r w:rsidR="00F73EF2" w:rsidRPr="00E77EF4">
        <w:rPr>
          <w:sz w:val="24"/>
          <w:szCs w:val="24"/>
        </w:rPr>
        <w:t>also as the novel use of existing technology</w:t>
      </w:r>
      <w:r w:rsidR="00E77EF4">
        <w:rPr>
          <w:sz w:val="24"/>
          <w:szCs w:val="24"/>
        </w:rPr>
        <w:t>.</w:t>
      </w:r>
      <w:r w:rsidR="003A5495" w:rsidRPr="003A5495">
        <w:t xml:space="preserve"> </w:t>
      </w:r>
    </w:p>
    <w:p w14:paraId="163AC960" w14:textId="3D612BFA" w:rsidR="00E77EF4" w:rsidRDefault="003A5495" w:rsidP="00723EAC">
      <w:pPr>
        <w:jc w:val="both"/>
        <w:rPr>
          <w:b/>
          <w:sz w:val="24"/>
          <w:szCs w:val="24"/>
        </w:rPr>
      </w:pPr>
      <w:bookmarkStart w:id="8" w:name="_Hlk515277116"/>
      <w:r w:rsidRPr="003A5495">
        <w:rPr>
          <w:sz w:val="24"/>
          <w:szCs w:val="24"/>
        </w:rPr>
        <w:t>By focusing on interaction and conceptual design, virtual multimodal museums will be able to offer diversified, collaborative, and tailored experiences that adapt to the different needs of audiences and stakeholders</w:t>
      </w:r>
      <w:r w:rsidR="00E6097E">
        <w:rPr>
          <w:sz w:val="24"/>
          <w:szCs w:val="24"/>
        </w:rPr>
        <w:t>,</w:t>
      </w:r>
      <w:r w:rsidRPr="003A5495">
        <w:t xml:space="preserve"> </w:t>
      </w:r>
      <w:r w:rsidRPr="003A5495">
        <w:rPr>
          <w:sz w:val="24"/>
          <w:szCs w:val="24"/>
        </w:rPr>
        <w:t>including the public, curators and museum decision makers, technical specialists, partner organisations and other industries</w:t>
      </w:r>
      <w:bookmarkEnd w:id="8"/>
      <w:r w:rsidR="00FF6B2F">
        <w:rPr>
          <w:sz w:val="24"/>
          <w:szCs w:val="24"/>
        </w:rPr>
        <w:t>.</w:t>
      </w:r>
    </w:p>
    <w:p w14:paraId="51E5120E" w14:textId="54BFE008" w:rsidR="006D4C52" w:rsidRPr="00D95E08" w:rsidRDefault="006D3148" w:rsidP="00723EAC">
      <w:pPr>
        <w:pStyle w:val="Heading1"/>
        <w:numPr>
          <w:ilvl w:val="0"/>
          <w:numId w:val="35"/>
        </w:numPr>
        <w:jc w:val="both"/>
      </w:pPr>
      <w:bookmarkStart w:id="9" w:name="_Toc512355153"/>
      <w:bookmarkStart w:id="10" w:name="_Hlk515273808"/>
      <w:r>
        <w:t>H</w:t>
      </w:r>
      <w:r w:rsidR="006D4C52" w:rsidRPr="00D95E08">
        <w:t>arnessing techno</w:t>
      </w:r>
      <w:r w:rsidR="00266B14">
        <w:t>logies</w:t>
      </w:r>
      <w:r w:rsidR="006D4C52" w:rsidRPr="00D95E08">
        <w:t xml:space="preserve"> </w:t>
      </w:r>
      <w:bookmarkEnd w:id="9"/>
    </w:p>
    <w:p w14:paraId="5D43703E" w14:textId="6848D0D3" w:rsidR="0047497E" w:rsidRDefault="0047497E" w:rsidP="00723EAC">
      <w:pPr>
        <w:jc w:val="both"/>
        <w:rPr>
          <w:sz w:val="24"/>
          <w:szCs w:val="24"/>
        </w:rPr>
      </w:pPr>
      <w:bookmarkStart w:id="11" w:name="_Hlk515277203"/>
      <w:bookmarkEnd w:id="10"/>
      <w:r w:rsidRPr="0047497E">
        <w:rPr>
          <w:sz w:val="24"/>
          <w:szCs w:val="24"/>
        </w:rPr>
        <w:t xml:space="preserve">The harnessing of additional technologies will have increasing relevance for museums and cultural heritage institutions, including: artificial intelligence; computer vision; deep learning / machine learning; and </w:t>
      </w:r>
      <w:r w:rsidRPr="006D3148">
        <w:rPr>
          <w:sz w:val="24"/>
          <w:szCs w:val="24"/>
          <w:u w:val="single"/>
        </w:rPr>
        <w:t>adaptive cognitive methods</w:t>
      </w:r>
      <w:r>
        <w:rPr>
          <w:sz w:val="24"/>
          <w:szCs w:val="24"/>
        </w:rPr>
        <w:t xml:space="preserve">. </w:t>
      </w:r>
      <w:r w:rsidRPr="0047497E">
        <w:rPr>
          <w:sz w:val="24"/>
          <w:szCs w:val="24"/>
        </w:rPr>
        <w:t xml:space="preserve">It is important that cultural heritage institutions are aware of and informed about technologies available to support their requirements. To this end, the </w:t>
      </w:r>
      <w:r>
        <w:rPr>
          <w:sz w:val="24"/>
          <w:szCs w:val="24"/>
        </w:rPr>
        <w:t xml:space="preserve">use of </w:t>
      </w:r>
      <w:r w:rsidRPr="0047497E">
        <w:rPr>
          <w:sz w:val="24"/>
          <w:szCs w:val="24"/>
        </w:rPr>
        <w:t xml:space="preserve">technologies should be documented as well as the </w:t>
      </w:r>
      <w:r w:rsidR="00FF6B2F">
        <w:rPr>
          <w:sz w:val="24"/>
          <w:szCs w:val="24"/>
        </w:rPr>
        <w:t xml:space="preserve">extent of their </w:t>
      </w:r>
      <w:r w:rsidRPr="0047497E">
        <w:rPr>
          <w:sz w:val="24"/>
          <w:szCs w:val="24"/>
        </w:rPr>
        <w:t>succe</w:t>
      </w:r>
      <w:r w:rsidR="00FF6B2F">
        <w:rPr>
          <w:sz w:val="24"/>
          <w:szCs w:val="24"/>
        </w:rPr>
        <w:t>ss o</w:t>
      </w:r>
      <w:r w:rsidRPr="0047497E">
        <w:rPr>
          <w:sz w:val="24"/>
          <w:szCs w:val="24"/>
        </w:rPr>
        <w:t>r fail</w:t>
      </w:r>
      <w:r w:rsidR="00FF6B2F">
        <w:rPr>
          <w:sz w:val="24"/>
          <w:szCs w:val="24"/>
        </w:rPr>
        <w:t>ure</w:t>
      </w:r>
      <w:r w:rsidRPr="0047497E">
        <w:rPr>
          <w:sz w:val="24"/>
          <w:szCs w:val="24"/>
        </w:rPr>
        <w:t>.</w:t>
      </w:r>
    </w:p>
    <w:p w14:paraId="472C37DD" w14:textId="77777777" w:rsidR="00124DC1" w:rsidRDefault="00F66787" w:rsidP="00723EAC">
      <w:pPr>
        <w:jc w:val="both"/>
        <w:rPr>
          <w:sz w:val="24"/>
          <w:szCs w:val="24"/>
        </w:rPr>
      </w:pPr>
      <w:r w:rsidRPr="00C3108D">
        <w:rPr>
          <w:sz w:val="24"/>
          <w:szCs w:val="24"/>
        </w:rPr>
        <w:t>Cultural heritage organisations and everyone involved in handling, exploitation, research and valorisation of DCH should be aware of the usefulness of XR (Extended Reality)</w:t>
      </w:r>
      <w:r w:rsidRPr="00C3108D">
        <w:rPr>
          <w:rStyle w:val="FootnoteReference"/>
          <w:sz w:val="24"/>
          <w:szCs w:val="24"/>
        </w:rPr>
        <w:footnoteReference w:id="7"/>
      </w:r>
      <w:r w:rsidRPr="00C3108D">
        <w:rPr>
          <w:sz w:val="24"/>
          <w:szCs w:val="24"/>
        </w:rPr>
        <w:t xml:space="preserve">  technology that can support their </w:t>
      </w:r>
      <w:r w:rsidR="00FF6B2F">
        <w:rPr>
          <w:sz w:val="24"/>
          <w:szCs w:val="24"/>
        </w:rPr>
        <w:t xml:space="preserve">internal and external </w:t>
      </w:r>
      <w:r w:rsidRPr="00C3108D">
        <w:rPr>
          <w:sz w:val="24"/>
          <w:szCs w:val="24"/>
        </w:rPr>
        <w:t>processes</w:t>
      </w:r>
      <w:r w:rsidR="0047497E">
        <w:rPr>
          <w:sz w:val="24"/>
          <w:szCs w:val="24"/>
        </w:rPr>
        <w:t>, not only by</w:t>
      </w:r>
      <w:r w:rsidRPr="00C3108D">
        <w:rPr>
          <w:sz w:val="24"/>
          <w:szCs w:val="24"/>
        </w:rPr>
        <w:t xml:space="preserve"> extend</w:t>
      </w:r>
      <w:r w:rsidR="0047497E">
        <w:rPr>
          <w:sz w:val="24"/>
          <w:szCs w:val="24"/>
        </w:rPr>
        <w:t>ing</w:t>
      </w:r>
      <w:r w:rsidRPr="00C3108D">
        <w:rPr>
          <w:sz w:val="24"/>
          <w:szCs w:val="24"/>
        </w:rPr>
        <w:t xml:space="preserve"> </w:t>
      </w:r>
      <w:r w:rsidRPr="00C3108D">
        <w:rPr>
          <w:sz w:val="24"/>
          <w:szCs w:val="24"/>
        </w:rPr>
        <w:lastRenderedPageBreak/>
        <w:t xml:space="preserve">existing formats but also </w:t>
      </w:r>
      <w:r w:rsidR="0047497E">
        <w:rPr>
          <w:sz w:val="24"/>
          <w:szCs w:val="24"/>
        </w:rPr>
        <w:t xml:space="preserve">by </w:t>
      </w:r>
      <w:r w:rsidRPr="00C3108D">
        <w:rPr>
          <w:sz w:val="24"/>
          <w:szCs w:val="24"/>
        </w:rPr>
        <w:t>explor</w:t>
      </w:r>
      <w:r w:rsidR="0047497E">
        <w:rPr>
          <w:sz w:val="24"/>
          <w:szCs w:val="24"/>
        </w:rPr>
        <w:t>ing</w:t>
      </w:r>
      <w:r w:rsidRPr="00C3108D">
        <w:rPr>
          <w:sz w:val="24"/>
          <w:szCs w:val="24"/>
        </w:rPr>
        <w:t xml:space="preserve"> new ways of presenting cultural cont</w:t>
      </w:r>
      <w:bookmarkEnd w:id="11"/>
      <w:r w:rsidRPr="00C3108D">
        <w:rPr>
          <w:sz w:val="24"/>
          <w:szCs w:val="24"/>
        </w:rPr>
        <w:t>ent. Th</w:t>
      </w:r>
      <w:r w:rsidR="00FF6B2F">
        <w:rPr>
          <w:sz w:val="24"/>
          <w:szCs w:val="24"/>
        </w:rPr>
        <w:t>is</w:t>
      </w:r>
      <w:r w:rsidRPr="00C3108D">
        <w:rPr>
          <w:sz w:val="24"/>
          <w:szCs w:val="24"/>
        </w:rPr>
        <w:t xml:space="preserve"> should not compete with but extend institutional capabilities, beyond the limitations of material reality, as they relate to exhibits, infrastructure and users. </w:t>
      </w:r>
    </w:p>
    <w:p w14:paraId="3EABEAAD" w14:textId="34E819A2" w:rsidR="00124DC1" w:rsidRPr="00124DC1" w:rsidRDefault="00124DC1" w:rsidP="00723EAC">
      <w:pPr>
        <w:jc w:val="both"/>
        <w:rPr>
          <w:sz w:val="24"/>
          <w:szCs w:val="24"/>
        </w:rPr>
      </w:pPr>
      <w:r w:rsidRPr="00124DC1">
        <w:rPr>
          <w:sz w:val="24"/>
          <w:szCs w:val="24"/>
        </w:rPr>
        <w:t>Cultural heritage institutions often deal with a very large number of three dimensional objects, e.g. archaeological museums with millions of pieces, making it impossible to document each single fragment manually. Automated information extraction on a large scale is needed, underpinned by comparative analysis of different technologies as a prelude to further development. Artificial intelligence might be an enabling technology for this, especially as more data becomes available.</w:t>
      </w:r>
    </w:p>
    <w:p w14:paraId="28324504" w14:textId="6456BB6C" w:rsidR="00FA26D0" w:rsidRPr="00C3108D" w:rsidRDefault="00124DC1" w:rsidP="00723EAC">
      <w:pPr>
        <w:jc w:val="both"/>
        <w:rPr>
          <w:sz w:val="24"/>
          <w:szCs w:val="24"/>
        </w:rPr>
      </w:pPr>
      <w:r w:rsidRPr="00124DC1">
        <w:rPr>
          <w:sz w:val="24"/>
          <w:szCs w:val="24"/>
        </w:rPr>
        <w:t>Human-machine collaboration will enhance our understanding and enjoyment of cultural heritage, for example by interlinking metadata/data across domains and capturing knowledge directly from the human brain and body activity. New immersive environments are required that enhance interaction between human and machine activity, together with efficient interfaces for semantic tagging by humans</w:t>
      </w:r>
    </w:p>
    <w:p w14:paraId="0BD6C202" w14:textId="487B52EB" w:rsidR="00B94A23" w:rsidRDefault="00124DC1" w:rsidP="00723EAC">
      <w:pPr>
        <w:jc w:val="both"/>
        <w:rPr>
          <w:b/>
          <w:sz w:val="24"/>
          <w:szCs w:val="24"/>
        </w:rPr>
      </w:pPr>
      <w:r>
        <w:rPr>
          <w:sz w:val="24"/>
          <w:szCs w:val="24"/>
        </w:rPr>
        <w:t>All th</w:t>
      </w:r>
      <w:r w:rsidR="001708AD" w:rsidRPr="00C3108D">
        <w:rPr>
          <w:sz w:val="24"/>
          <w:szCs w:val="24"/>
        </w:rPr>
        <w:t xml:space="preserve">is entails the full engagement of the cultural heritage sector in a process of </w:t>
      </w:r>
      <w:r w:rsidR="00167B57" w:rsidRPr="00C3108D">
        <w:rPr>
          <w:sz w:val="24"/>
          <w:szCs w:val="24"/>
        </w:rPr>
        <w:t>Digital Transformation</w:t>
      </w:r>
      <w:r w:rsidR="001708AD" w:rsidRPr="00C3108D">
        <w:rPr>
          <w:sz w:val="24"/>
          <w:szCs w:val="24"/>
        </w:rPr>
        <w:t xml:space="preserve"> in which museum departments should incorporate technology solutions within their day-to-day responsibilities.</w:t>
      </w:r>
      <w:r w:rsidR="00167B57" w:rsidRPr="00C3108D">
        <w:rPr>
          <w:sz w:val="24"/>
          <w:szCs w:val="24"/>
        </w:rPr>
        <w:t xml:space="preserve"> </w:t>
      </w:r>
    </w:p>
    <w:p w14:paraId="73678FCC" w14:textId="72C1C838" w:rsidR="00167B57" w:rsidRPr="00D95E08" w:rsidRDefault="006D3148" w:rsidP="00723EAC">
      <w:pPr>
        <w:pStyle w:val="Heading1"/>
        <w:numPr>
          <w:ilvl w:val="0"/>
          <w:numId w:val="35"/>
        </w:numPr>
        <w:jc w:val="both"/>
      </w:pPr>
      <w:bookmarkStart w:id="13" w:name="_Toc512355154"/>
      <w:bookmarkStart w:id="14" w:name="_Hlk515273833"/>
      <w:r>
        <w:t>I</w:t>
      </w:r>
      <w:r w:rsidR="00167B57" w:rsidRPr="00D95E08">
        <w:t>ncentivis</w:t>
      </w:r>
      <w:r w:rsidR="002F7B98">
        <w:t>ing</w:t>
      </w:r>
      <w:r>
        <w:t xml:space="preserve"> </w:t>
      </w:r>
      <w:bookmarkEnd w:id="13"/>
      <w:r w:rsidR="002F7B98">
        <w:t>funding</w:t>
      </w:r>
    </w:p>
    <w:p w14:paraId="22E027DE" w14:textId="794B3D93" w:rsidR="001708AD" w:rsidRPr="00C3108D" w:rsidRDefault="00B2000D" w:rsidP="00723EAC">
      <w:pPr>
        <w:jc w:val="both"/>
        <w:rPr>
          <w:sz w:val="24"/>
          <w:szCs w:val="24"/>
        </w:rPr>
      </w:pPr>
      <w:bookmarkStart w:id="15" w:name="_Hlk515277279"/>
      <w:bookmarkEnd w:id="14"/>
      <w:r w:rsidRPr="00C3108D">
        <w:rPr>
          <w:sz w:val="24"/>
          <w:szCs w:val="24"/>
        </w:rPr>
        <w:t xml:space="preserve">While there is </w:t>
      </w:r>
      <w:r w:rsidR="00FF6B2F">
        <w:rPr>
          <w:sz w:val="24"/>
          <w:szCs w:val="24"/>
        </w:rPr>
        <w:t xml:space="preserve">evidence of </w:t>
      </w:r>
      <w:r w:rsidRPr="00C3108D">
        <w:rPr>
          <w:sz w:val="24"/>
          <w:szCs w:val="24"/>
        </w:rPr>
        <w:t>a solid demand for virtual multimodal museums</w:t>
      </w:r>
      <w:r w:rsidR="001708AD" w:rsidRPr="00C3108D">
        <w:rPr>
          <w:sz w:val="24"/>
          <w:szCs w:val="24"/>
        </w:rPr>
        <w:t xml:space="preserve"> and DCH in general,</w:t>
      </w:r>
      <w:r w:rsidRPr="00C3108D">
        <w:rPr>
          <w:sz w:val="24"/>
          <w:szCs w:val="24"/>
        </w:rPr>
        <w:t xml:space="preserve"> </w:t>
      </w:r>
      <w:r w:rsidR="001708AD" w:rsidRPr="00C3108D">
        <w:rPr>
          <w:sz w:val="24"/>
          <w:szCs w:val="24"/>
        </w:rPr>
        <w:t xml:space="preserve">there is a lack of </w:t>
      </w:r>
      <w:r w:rsidRPr="00C3108D">
        <w:rPr>
          <w:sz w:val="24"/>
          <w:szCs w:val="24"/>
        </w:rPr>
        <w:t xml:space="preserve">resources </w:t>
      </w:r>
      <w:r w:rsidR="001708AD" w:rsidRPr="00C3108D">
        <w:rPr>
          <w:sz w:val="24"/>
          <w:szCs w:val="24"/>
        </w:rPr>
        <w:t xml:space="preserve">and </w:t>
      </w:r>
      <w:r w:rsidRPr="00C3108D">
        <w:rPr>
          <w:sz w:val="24"/>
          <w:szCs w:val="24"/>
        </w:rPr>
        <w:t xml:space="preserve">also great imbalances between institutions </w:t>
      </w:r>
      <w:r w:rsidR="009C5082">
        <w:rPr>
          <w:sz w:val="24"/>
          <w:szCs w:val="24"/>
        </w:rPr>
        <w:t xml:space="preserve">in </w:t>
      </w:r>
      <w:r w:rsidR="001708AD" w:rsidRPr="00C3108D">
        <w:rPr>
          <w:sz w:val="24"/>
          <w:szCs w:val="24"/>
        </w:rPr>
        <w:t>relati</w:t>
      </w:r>
      <w:r w:rsidR="009C5082">
        <w:rPr>
          <w:sz w:val="24"/>
          <w:szCs w:val="24"/>
        </w:rPr>
        <w:t>on</w:t>
      </w:r>
      <w:r w:rsidR="001708AD" w:rsidRPr="00C3108D">
        <w:rPr>
          <w:sz w:val="24"/>
          <w:szCs w:val="24"/>
        </w:rPr>
        <w:t xml:space="preserve"> to their</w:t>
      </w:r>
      <w:r w:rsidRPr="00C3108D">
        <w:rPr>
          <w:sz w:val="24"/>
          <w:szCs w:val="24"/>
        </w:rPr>
        <w:t xml:space="preserve"> scale, legal statutes, location, and content</w:t>
      </w:r>
      <w:r w:rsidR="001708AD" w:rsidRPr="00C3108D">
        <w:rPr>
          <w:sz w:val="24"/>
          <w:szCs w:val="24"/>
        </w:rPr>
        <w:t>.</w:t>
      </w:r>
      <w:r w:rsidRPr="00C3108D">
        <w:rPr>
          <w:sz w:val="24"/>
          <w:szCs w:val="24"/>
        </w:rPr>
        <w:t xml:space="preserve"> In order to address these imbalances, policies for the incentivi</w:t>
      </w:r>
      <w:r w:rsidR="009C5082">
        <w:rPr>
          <w:sz w:val="24"/>
          <w:szCs w:val="24"/>
        </w:rPr>
        <w:t>s</w:t>
      </w:r>
      <w:r w:rsidRPr="00C3108D">
        <w:rPr>
          <w:sz w:val="24"/>
          <w:szCs w:val="24"/>
        </w:rPr>
        <w:t>ation of funding from both public and private sources need to be developed</w:t>
      </w:r>
      <w:r w:rsidR="001708AD" w:rsidRPr="00C3108D">
        <w:rPr>
          <w:sz w:val="24"/>
          <w:szCs w:val="24"/>
        </w:rPr>
        <w:t xml:space="preserve"> including a mixture of</w:t>
      </w:r>
      <w:r w:rsidRPr="00C3108D">
        <w:rPr>
          <w:sz w:val="24"/>
          <w:szCs w:val="24"/>
        </w:rPr>
        <w:t xml:space="preserve"> direct public subsidies, tax incentives</w:t>
      </w:r>
      <w:r w:rsidR="001708AD" w:rsidRPr="00C3108D">
        <w:rPr>
          <w:sz w:val="24"/>
          <w:szCs w:val="24"/>
        </w:rPr>
        <w:t xml:space="preserve"> for private funding, sponsor visibility</w:t>
      </w:r>
      <w:r w:rsidR="00FF6B2F">
        <w:rPr>
          <w:sz w:val="24"/>
          <w:szCs w:val="24"/>
        </w:rPr>
        <w:t>,</w:t>
      </w:r>
      <w:r w:rsidR="001708AD" w:rsidRPr="00C3108D">
        <w:rPr>
          <w:sz w:val="24"/>
          <w:szCs w:val="24"/>
        </w:rPr>
        <w:t xml:space="preserve"> crowdfunding</w:t>
      </w:r>
      <w:bookmarkEnd w:id="15"/>
      <w:r w:rsidR="00282805">
        <w:rPr>
          <w:sz w:val="24"/>
          <w:szCs w:val="24"/>
        </w:rPr>
        <w:t xml:space="preserve"> and other</w:t>
      </w:r>
      <w:r w:rsidR="00282805" w:rsidRPr="00282805">
        <w:t xml:space="preserve"> </w:t>
      </w:r>
      <w:r w:rsidR="00282805" w:rsidRPr="00282805">
        <w:rPr>
          <w:sz w:val="24"/>
          <w:szCs w:val="24"/>
        </w:rPr>
        <w:t>fundraising initiatives</w:t>
      </w:r>
      <w:r w:rsidR="001708AD" w:rsidRPr="00C3108D">
        <w:rPr>
          <w:sz w:val="24"/>
          <w:szCs w:val="24"/>
        </w:rPr>
        <w:t>.</w:t>
      </w:r>
    </w:p>
    <w:p w14:paraId="318D2F2E" w14:textId="52413702" w:rsidR="00146886" w:rsidRPr="00C3108D" w:rsidRDefault="001708AD" w:rsidP="00723EAC">
      <w:pPr>
        <w:jc w:val="both"/>
        <w:rPr>
          <w:sz w:val="24"/>
          <w:szCs w:val="24"/>
        </w:rPr>
      </w:pPr>
      <w:r w:rsidRPr="00C3108D">
        <w:rPr>
          <w:sz w:val="24"/>
          <w:szCs w:val="24"/>
        </w:rPr>
        <w:t xml:space="preserve">The EU and international heritage organizations </w:t>
      </w:r>
      <w:r w:rsidR="00F66787" w:rsidRPr="00C3108D">
        <w:rPr>
          <w:sz w:val="24"/>
          <w:szCs w:val="24"/>
        </w:rPr>
        <w:t>can play a key role in</w:t>
      </w:r>
      <w:r w:rsidRPr="00C3108D">
        <w:rPr>
          <w:sz w:val="24"/>
          <w:szCs w:val="24"/>
        </w:rPr>
        <w:t xml:space="preserve"> co-ordinat</w:t>
      </w:r>
      <w:r w:rsidR="00F66787" w:rsidRPr="00C3108D">
        <w:rPr>
          <w:sz w:val="24"/>
          <w:szCs w:val="24"/>
        </w:rPr>
        <w:t>ing</w:t>
      </w:r>
      <w:r w:rsidRPr="00C3108D">
        <w:rPr>
          <w:sz w:val="24"/>
          <w:szCs w:val="24"/>
        </w:rPr>
        <w:t xml:space="preserve"> and promot</w:t>
      </w:r>
      <w:r w:rsidR="00F66787" w:rsidRPr="00C3108D">
        <w:rPr>
          <w:sz w:val="24"/>
          <w:szCs w:val="24"/>
        </w:rPr>
        <w:t>ing</w:t>
      </w:r>
      <w:r w:rsidRPr="00C3108D">
        <w:rPr>
          <w:sz w:val="24"/>
          <w:szCs w:val="24"/>
        </w:rPr>
        <w:t xml:space="preserve"> </w:t>
      </w:r>
      <w:r w:rsidR="009C5082">
        <w:rPr>
          <w:sz w:val="24"/>
          <w:szCs w:val="24"/>
        </w:rPr>
        <w:t xml:space="preserve">the </w:t>
      </w:r>
      <w:r w:rsidRPr="00C3108D">
        <w:rPr>
          <w:sz w:val="24"/>
          <w:szCs w:val="24"/>
        </w:rPr>
        <w:t xml:space="preserve">means of funding for DCH </w:t>
      </w:r>
      <w:r w:rsidR="00F66787" w:rsidRPr="00C3108D">
        <w:rPr>
          <w:sz w:val="24"/>
          <w:szCs w:val="24"/>
        </w:rPr>
        <w:t xml:space="preserve">– as well as funding key initiatives directly - </w:t>
      </w:r>
      <w:r w:rsidRPr="00C3108D">
        <w:rPr>
          <w:sz w:val="24"/>
          <w:szCs w:val="24"/>
        </w:rPr>
        <w:t xml:space="preserve">as a </w:t>
      </w:r>
      <w:r w:rsidR="00F66787" w:rsidRPr="00C3108D">
        <w:rPr>
          <w:sz w:val="24"/>
          <w:szCs w:val="24"/>
        </w:rPr>
        <w:t>vital ingredient</w:t>
      </w:r>
      <w:r w:rsidRPr="00C3108D">
        <w:rPr>
          <w:sz w:val="24"/>
          <w:szCs w:val="24"/>
        </w:rPr>
        <w:t xml:space="preserve"> </w:t>
      </w:r>
      <w:r w:rsidR="00F66787" w:rsidRPr="00C3108D">
        <w:rPr>
          <w:sz w:val="24"/>
          <w:szCs w:val="24"/>
        </w:rPr>
        <w:t>in</w:t>
      </w:r>
      <w:r w:rsidRPr="00C3108D">
        <w:rPr>
          <w:sz w:val="24"/>
          <w:szCs w:val="24"/>
        </w:rPr>
        <w:t xml:space="preserve"> Europe’s economic </w:t>
      </w:r>
      <w:r w:rsidR="00F66787" w:rsidRPr="00C3108D">
        <w:rPr>
          <w:sz w:val="24"/>
          <w:szCs w:val="24"/>
        </w:rPr>
        <w:t xml:space="preserve">prosperity </w:t>
      </w:r>
      <w:r w:rsidRPr="00C3108D">
        <w:rPr>
          <w:sz w:val="24"/>
          <w:szCs w:val="24"/>
        </w:rPr>
        <w:t xml:space="preserve">and social </w:t>
      </w:r>
      <w:r w:rsidR="00F66787" w:rsidRPr="00C3108D">
        <w:rPr>
          <w:sz w:val="24"/>
          <w:szCs w:val="24"/>
        </w:rPr>
        <w:t>cohesion, not least through its</w:t>
      </w:r>
      <w:r w:rsidRPr="00C3108D">
        <w:rPr>
          <w:sz w:val="24"/>
          <w:szCs w:val="24"/>
        </w:rPr>
        <w:t xml:space="preserve"> museums and cultural heritage institutions.</w:t>
      </w:r>
      <w:r w:rsidR="00B2000D" w:rsidRPr="00C3108D">
        <w:rPr>
          <w:sz w:val="24"/>
          <w:szCs w:val="24"/>
        </w:rPr>
        <w:t xml:space="preserve"> </w:t>
      </w:r>
    </w:p>
    <w:p w14:paraId="37E07AD2" w14:textId="45769B26" w:rsidR="001A6F8D" w:rsidRPr="00D95E08" w:rsidRDefault="001A6F8D" w:rsidP="00723EAC">
      <w:pPr>
        <w:pStyle w:val="Heading1"/>
        <w:numPr>
          <w:ilvl w:val="0"/>
          <w:numId w:val="35"/>
        </w:numPr>
        <w:jc w:val="both"/>
      </w:pPr>
      <w:bookmarkStart w:id="16" w:name="_Toc512355155"/>
      <w:bookmarkStart w:id="17" w:name="_Hlk515273853"/>
      <w:r w:rsidRPr="00D95E08">
        <w:t>Open</w:t>
      </w:r>
      <w:r w:rsidR="006D3148">
        <w:t>ing up</w:t>
      </w:r>
      <w:bookmarkEnd w:id="16"/>
    </w:p>
    <w:bookmarkEnd w:id="17"/>
    <w:p w14:paraId="5CB277A7" w14:textId="7E0D94B9" w:rsidR="002F7B98" w:rsidRDefault="006D3148" w:rsidP="00723EAC">
      <w:pPr>
        <w:jc w:val="both"/>
        <w:rPr>
          <w:sz w:val="24"/>
          <w:szCs w:val="24"/>
        </w:rPr>
      </w:pPr>
      <w:r w:rsidRPr="006D3148">
        <w:rPr>
          <w:sz w:val="24"/>
          <w:szCs w:val="24"/>
        </w:rPr>
        <w:t xml:space="preserve">Museums should be open-minded, working together with a variety of </w:t>
      </w:r>
      <w:r w:rsidR="002F7B98">
        <w:rPr>
          <w:sz w:val="24"/>
          <w:szCs w:val="24"/>
        </w:rPr>
        <w:t xml:space="preserve">creative </w:t>
      </w:r>
      <w:r w:rsidR="002F7B98" w:rsidRPr="006D3148">
        <w:rPr>
          <w:sz w:val="24"/>
          <w:szCs w:val="24"/>
        </w:rPr>
        <w:t>producers, to</w:t>
      </w:r>
      <w:r w:rsidRPr="006D3148">
        <w:rPr>
          <w:sz w:val="24"/>
          <w:szCs w:val="24"/>
        </w:rPr>
        <w:t xml:space="preserve"> provide virtual products that promote cultural heritage beyond the limitations of a physical museum.</w:t>
      </w:r>
      <w:r w:rsidR="002F7B98" w:rsidRPr="002F7B98">
        <w:t xml:space="preserve"> </w:t>
      </w:r>
      <w:r w:rsidR="002F7B98" w:rsidRPr="002F7B98">
        <w:rPr>
          <w:sz w:val="24"/>
          <w:szCs w:val="24"/>
        </w:rPr>
        <w:t xml:space="preserve">Openness to partnerships is an important pre-requisite. </w:t>
      </w:r>
    </w:p>
    <w:p w14:paraId="5FFF91B5" w14:textId="608B57C1" w:rsidR="002F7B98" w:rsidRDefault="002F7B98" w:rsidP="00723EAC">
      <w:pPr>
        <w:jc w:val="both"/>
        <w:rPr>
          <w:sz w:val="24"/>
          <w:szCs w:val="24"/>
        </w:rPr>
      </w:pPr>
      <w:r w:rsidRPr="002F7B98">
        <w:rPr>
          <w:sz w:val="24"/>
          <w:szCs w:val="24"/>
        </w:rPr>
        <w:t>Further support should be given to the universalisation of Open Access policies for digital data (e.g. Creative Commons), Open Source infrastructure for digital content management and Open frameworks for object visualization/ dissemination.</w:t>
      </w:r>
    </w:p>
    <w:p w14:paraId="5946D794" w14:textId="10F0F03B" w:rsidR="00C3108D" w:rsidRDefault="006D3148" w:rsidP="00723EAC">
      <w:pPr>
        <w:jc w:val="both"/>
      </w:pPr>
      <w:bookmarkStart w:id="18" w:name="_Hlk515277324"/>
      <w:r w:rsidRPr="006D3148">
        <w:rPr>
          <w:sz w:val="24"/>
          <w:szCs w:val="24"/>
        </w:rPr>
        <w:t xml:space="preserve"> </w:t>
      </w:r>
      <w:r w:rsidR="00076EF2" w:rsidRPr="00C3108D">
        <w:rPr>
          <w:sz w:val="24"/>
          <w:szCs w:val="24"/>
        </w:rPr>
        <w:t>For achieving sustainability, digital cultural information should be based on open formats</w:t>
      </w:r>
      <w:r w:rsidR="00FF6B2F">
        <w:rPr>
          <w:sz w:val="24"/>
          <w:szCs w:val="24"/>
        </w:rPr>
        <w:t xml:space="preserve"> and</w:t>
      </w:r>
      <w:r w:rsidR="00076EF2" w:rsidRPr="00C3108D">
        <w:rPr>
          <w:sz w:val="24"/>
          <w:szCs w:val="24"/>
        </w:rPr>
        <w:t xml:space="preserve"> metadata standards</w:t>
      </w:r>
      <w:r w:rsidR="00FF6B2F">
        <w:rPr>
          <w:sz w:val="24"/>
          <w:szCs w:val="24"/>
        </w:rPr>
        <w:t xml:space="preserve">, </w:t>
      </w:r>
      <w:r w:rsidR="00076EF2" w:rsidRPr="00C3108D">
        <w:rPr>
          <w:sz w:val="24"/>
          <w:szCs w:val="24"/>
        </w:rPr>
        <w:t>support</w:t>
      </w:r>
      <w:r w:rsidR="009C5082">
        <w:rPr>
          <w:sz w:val="24"/>
          <w:szCs w:val="24"/>
        </w:rPr>
        <w:t>ing</w:t>
      </w:r>
      <w:r w:rsidR="00076EF2" w:rsidRPr="00C3108D">
        <w:rPr>
          <w:sz w:val="24"/>
          <w:szCs w:val="24"/>
        </w:rPr>
        <w:t xml:space="preserve"> long-term availability. </w:t>
      </w:r>
      <w:r w:rsidR="009C5082">
        <w:rPr>
          <w:sz w:val="24"/>
          <w:szCs w:val="24"/>
        </w:rPr>
        <w:t xml:space="preserve">It is </w:t>
      </w:r>
      <w:r w:rsidR="00076EF2" w:rsidRPr="00C3108D">
        <w:rPr>
          <w:sz w:val="24"/>
          <w:szCs w:val="24"/>
        </w:rPr>
        <w:t>strongly recommend</w:t>
      </w:r>
      <w:r w:rsidR="009C5082">
        <w:rPr>
          <w:sz w:val="24"/>
          <w:szCs w:val="24"/>
        </w:rPr>
        <w:t>ed</w:t>
      </w:r>
      <w:r w:rsidR="00076EF2" w:rsidRPr="00C3108D">
        <w:rPr>
          <w:sz w:val="24"/>
          <w:szCs w:val="24"/>
        </w:rPr>
        <w:t xml:space="preserve"> that </w:t>
      </w:r>
      <w:r w:rsidR="00076EF2" w:rsidRPr="00C3108D">
        <w:rPr>
          <w:sz w:val="24"/>
          <w:szCs w:val="24"/>
        </w:rPr>
        <w:lastRenderedPageBreak/>
        <w:t>museums make their data available by open licence</w:t>
      </w:r>
      <w:r w:rsidR="00266B14">
        <w:rPr>
          <w:sz w:val="24"/>
          <w:szCs w:val="24"/>
        </w:rPr>
        <w:t>,</w:t>
      </w:r>
      <w:r w:rsidR="00E66412">
        <w:rPr>
          <w:sz w:val="24"/>
          <w:szCs w:val="24"/>
        </w:rPr>
        <w:t xml:space="preserve"> taking into account all the relative EU directives (such as PSI, or</w:t>
      </w:r>
      <w:r w:rsidR="00266B14">
        <w:rPr>
          <w:sz w:val="24"/>
          <w:szCs w:val="24"/>
        </w:rPr>
        <w:t>p</w:t>
      </w:r>
      <w:r w:rsidR="00E66412">
        <w:rPr>
          <w:sz w:val="24"/>
          <w:szCs w:val="24"/>
        </w:rPr>
        <w:t>han works, copyrights, etc.)</w:t>
      </w:r>
      <w:r w:rsidR="00076EF2" w:rsidRPr="00C3108D">
        <w:rPr>
          <w:sz w:val="24"/>
          <w:szCs w:val="24"/>
        </w:rPr>
        <w:t>.</w:t>
      </w:r>
      <w:r w:rsidR="00C3108D" w:rsidRPr="00C3108D">
        <w:t xml:space="preserve"> </w:t>
      </w:r>
    </w:p>
    <w:p w14:paraId="0BB4BB77" w14:textId="49A9B685" w:rsidR="007F5711" w:rsidRDefault="00B94A23" w:rsidP="00723EAC">
      <w:pPr>
        <w:jc w:val="both"/>
        <w:rPr>
          <w:sz w:val="24"/>
          <w:szCs w:val="24"/>
        </w:rPr>
      </w:pPr>
      <w:r w:rsidRPr="00B94A23">
        <w:rPr>
          <w:sz w:val="24"/>
          <w:szCs w:val="24"/>
        </w:rPr>
        <w:t>It is important to consider the use of open source software tools and formats as a first priority in order to ensure long</w:t>
      </w:r>
      <w:r w:rsidR="00FF6B2F">
        <w:rPr>
          <w:sz w:val="24"/>
          <w:szCs w:val="24"/>
        </w:rPr>
        <w:t>-</w:t>
      </w:r>
      <w:r w:rsidRPr="00B94A23">
        <w:rPr>
          <w:sz w:val="24"/>
          <w:szCs w:val="24"/>
        </w:rPr>
        <w:t>term usability of the material created</w:t>
      </w:r>
      <w:r w:rsidR="00FF6B2F">
        <w:rPr>
          <w:sz w:val="24"/>
          <w:szCs w:val="24"/>
        </w:rPr>
        <w:t>,</w:t>
      </w:r>
      <w:r w:rsidR="007F5711" w:rsidRPr="007F5711">
        <w:rPr>
          <w:sz w:val="24"/>
          <w:szCs w:val="24"/>
        </w:rPr>
        <w:t xml:space="preserve"> promot</w:t>
      </w:r>
      <w:r w:rsidR="00FF6B2F">
        <w:rPr>
          <w:sz w:val="24"/>
          <w:szCs w:val="24"/>
        </w:rPr>
        <w:t>ing</w:t>
      </w:r>
      <w:r w:rsidR="007F5711" w:rsidRPr="007F5711">
        <w:rPr>
          <w:sz w:val="24"/>
          <w:szCs w:val="24"/>
        </w:rPr>
        <w:t xml:space="preserve"> public availability of open source authoring tools</w:t>
      </w:r>
      <w:r w:rsidR="00F211E5" w:rsidRPr="00F211E5">
        <w:t xml:space="preserve"> </w:t>
      </w:r>
      <w:r w:rsidR="00F211E5" w:rsidRPr="00F211E5">
        <w:rPr>
          <w:sz w:val="24"/>
          <w:szCs w:val="24"/>
        </w:rPr>
        <w:t>for Cultural Heritage assets</w:t>
      </w:r>
      <w:r>
        <w:rPr>
          <w:sz w:val="24"/>
          <w:szCs w:val="24"/>
        </w:rPr>
        <w:t xml:space="preserve">. </w:t>
      </w:r>
      <w:r w:rsidR="009C5082">
        <w:rPr>
          <w:sz w:val="24"/>
          <w:szCs w:val="24"/>
        </w:rPr>
        <w:t xml:space="preserve">Such an approach will </w:t>
      </w:r>
      <w:r w:rsidR="00C3108D" w:rsidRPr="00C3108D">
        <w:rPr>
          <w:sz w:val="24"/>
          <w:szCs w:val="24"/>
        </w:rPr>
        <w:t>enhanc</w:t>
      </w:r>
      <w:r w:rsidR="009C5082">
        <w:rPr>
          <w:sz w:val="24"/>
          <w:szCs w:val="24"/>
        </w:rPr>
        <w:t xml:space="preserve">e </w:t>
      </w:r>
      <w:r w:rsidR="00C3108D" w:rsidRPr="00C3108D">
        <w:rPr>
          <w:sz w:val="24"/>
          <w:szCs w:val="24"/>
        </w:rPr>
        <w:t xml:space="preserve">the benefits to </w:t>
      </w:r>
      <w:r w:rsidR="00FF6B2F">
        <w:rPr>
          <w:sz w:val="24"/>
          <w:szCs w:val="24"/>
        </w:rPr>
        <w:t>c</w:t>
      </w:r>
      <w:r w:rsidR="00C3108D" w:rsidRPr="00C3108D">
        <w:rPr>
          <w:sz w:val="24"/>
          <w:szCs w:val="24"/>
        </w:rPr>
        <w:t xml:space="preserve">reative </w:t>
      </w:r>
      <w:r w:rsidR="00FF6B2F">
        <w:rPr>
          <w:sz w:val="24"/>
          <w:szCs w:val="24"/>
        </w:rPr>
        <w:t>i</w:t>
      </w:r>
      <w:r w:rsidR="00C3108D" w:rsidRPr="00C3108D">
        <w:rPr>
          <w:sz w:val="24"/>
          <w:szCs w:val="24"/>
        </w:rPr>
        <w:t xml:space="preserve">ndustries and strengthen </w:t>
      </w:r>
      <w:r w:rsidR="009C5082">
        <w:rPr>
          <w:sz w:val="24"/>
          <w:szCs w:val="24"/>
        </w:rPr>
        <w:t xml:space="preserve">developments such as </w:t>
      </w:r>
      <w:r w:rsidR="00C3108D" w:rsidRPr="00C3108D">
        <w:rPr>
          <w:sz w:val="24"/>
          <w:szCs w:val="24"/>
        </w:rPr>
        <w:t>Citizen Science, Crowdsourcing and Open Science.</w:t>
      </w:r>
    </w:p>
    <w:bookmarkEnd w:id="18"/>
    <w:p w14:paraId="067F8574" w14:textId="4D3A1EA8" w:rsidR="009B12D9" w:rsidRPr="009B12D9" w:rsidRDefault="009B12D9" w:rsidP="00723EAC">
      <w:pPr>
        <w:jc w:val="both"/>
        <w:rPr>
          <w:sz w:val="24"/>
          <w:szCs w:val="24"/>
        </w:rPr>
      </w:pPr>
      <w:r w:rsidRPr="009B12D9">
        <w:rPr>
          <w:sz w:val="24"/>
          <w:szCs w:val="24"/>
        </w:rPr>
        <w:t>For this</w:t>
      </w:r>
      <w:r w:rsidR="00FF6B2F">
        <w:rPr>
          <w:sz w:val="24"/>
          <w:szCs w:val="24"/>
        </w:rPr>
        <w:t>,</w:t>
      </w:r>
      <w:r w:rsidRPr="009B12D9">
        <w:rPr>
          <w:sz w:val="24"/>
          <w:szCs w:val="24"/>
        </w:rPr>
        <w:t xml:space="preserve"> both content and software should be under free licenses (open source) to ensure that others can easily (re-)use it, thus creating potential for </w:t>
      </w:r>
      <w:r w:rsidR="002F7B98">
        <w:rPr>
          <w:sz w:val="24"/>
          <w:szCs w:val="24"/>
        </w:rPr>
        <w:t xml:space="preserve">both </w:t>
      </w:r>
      <w:r w:rsidRPr="009B12D9">
        <w:rPr>
          <w:sz w:val="24"/>
          <w:szCs w:val="24"/>
        </w:rPr>
        <w:t xml:space="preserve">commercial </w:t>
      </w:r>
      <w:r w:rsidR="002F7B98">
        <w:rPr>
          <w:sz w:val="24"/>
          <w:szCs w:val="24"/>
        </w:rPr>
        <w:t xml:space="preserve">and non-commercial </w:t>
      </w:r>
      <w:r w:rsidRPr="009B12D9">
        <w:rPr>
          <w:sz w:val="24"/>
          <w:szCs w:val="24"/>
        </w:rPr>
        <w:t>derivation.</w:t>
      </w:r>
      <w:r w:rsidR="00FF6B2F">
        <w:rPr>
          <w:sz w:val="24"/>
          <w:szCs w:val="24"/>
        </w:rPr>
        <w:t xml:space="preserve"> </w:t>
      </w:r>
      <w:r w:rsidRPr="009B12D9">
        <w:rPr>
          <w:sz w:val="24"/>
          <w:szCs w:val="24"/>
        </w:rPr>
        <w:t xml:space="preserve">Working in an open way will ensure better possibilities for fundraising since value is transparent. </w:t>
      </w:r>
      <w:r w:rsidR="00FF6B2F">
        <w:rPr>
          <w:sz w:val="24"/>
          <w:szCs w:val="24"/>
        </w:rPr>
        <w:t xml:space="preserve">It will </w:t>
      </w:r>
      <w:r w:rsidRPr="009B12D9">
        <w:rPr>
          <w:sz w:val="24"/>
          <w:szCs w:val="24"/>
        </w:rPr>
        <w:t xml:space="preserve">also increase the opportunity to </w:t>
      </w:r>
      <w:r w:rsidR="00FF6B2F">
        <w:rPr>
          <w:sz w:val="24"/>
          <w:szCs w:val="24"/>
        </w:rPr>
        <w:t xml:space="preserve">increase public engagement, </w:t>
      </w:r>
      <w:r w:rsidRPr="009B12D9">
        <w:rPr>
          <w:sz w:val="24"/>
          <w:szCs w:val="24"/>
        </w:rPr>
        <w:t>crowdsourcing</w:t>
      </w:r>
      <w:r w:rsidR="00FF6B2F">
        <w:rPr>
          <w:sz w:val="24"/>
          <w:szCs w:val="24"/>
        </w:rPr>
        <w:t xml:space="preserve"> and </w:t>
      </w:r>
      <w:r w:rsidRPr="009B12D9">
        <w:rPr>
          <w:sz w:val="24"/>
          <w:szCs w:val="24"/>
        </w:rPr>
        <w:t xml:space="preserve">create other benefits for </w:t>
      </w:r>
      <w:r w:rsidR="00FF6B2F">
        <w:rPr>
          <w:sz w:val="24"/>
          <w:szCs w:val="24"/>
        </w:rPr>
        <w:t>i</w:t>
      </w:r>
      <w:r w:rsidRPr="009B12D9">
        <w:rPr>
          <w:sz w:val="24"/>
          <w:szCs w:val="24"/>
        </w:rPr>
        <w:t>nstitution</w:t>
      </w:r>
      <w:r w:rsidR="00FF6B2F">
        <w:rPr>
          <w:sz w:val="24"/>
          <w:szCs w:val="24"/>
        </w:rPr>
        <w:t>s</w:t>
      </w:r>
      <w:r w:rsidRPr="009B12D9">
        <w:rPr>
          <w:sz w:val="24"/>
          <w:szCs w:val="24"/>
        </w:rPr>
        <w:t>.</w:t>
      </w:r>
    </w:p>
    <w:p w14:paraId="0D2EC36E" w14:textId="29D1C1FA" w:rsidR="00F973C9" w:rsidRPr="00D95E08" w:rsidRDefault="006D3148" w:rsidP="00723EAC">
      <w:pPr>
        <w:pStyle w:val="Heading1"/>
        <w:numPr>
          <w:ilvl w:val="0"/>
          <w:numId w:val="35"/>
        </w:numPr>
        <w:jc w:val="both"/>
      </w:pPr>
      <w:bookmarkStart w:id="19" w:name="_Hlk515273890"/>
      <w:r>
        <w:t>Giving the whole picture: d</w:t>
      </w:r>
      <w:r w:rsidRPr="006D3148">
        <w:t>ata, documentation and semantics</w:t>
      </w:r>
    </w:p>
    <w:p w14:paraId="4D830960" w14:textId="15FB9E85" w:rsidR="00F973C9" w:rsidRPr="00C3108D" w:rsidRDefault="005B7BF0" w:rsidP="00723EAC">
      <w:pPr>
        <w:jc w:val="both"/>
        <w:rPr>
          <w:sz w:val="24"/>
          <w:szCs w:val="24"/>
        </w:rPr>
      </w:pPr>
      <w:bookmarkStart w:id="20" w:name="_Hlk515277373"/>
      <w:bookmarkEnd w:id="19"/>
      <w:r w:rsidRPr="00C3108D">
        <w:rPr>
          <w:sz w:val="24"/>
          <w:szCs w:val="24"/>
        </w:rPr>
        <w:t xml:space="preserve">Increased awareness and acceptance of the </w:t>
      </w:r>
      <w:r w:rsidR="00F973C9" w:rsidRPr="00C3108D">
        <w:rPr>
          <w:sz w:val="24"/>
          <w:szCs w:val="24"/>
        </w:rPr>
        <w:t xml:space="preserve">“Digital Turn” </w:t>
      </w:r>
      <w:r w:rsidRPr="00C3108D">
        <w:rPr>
          <w:sz w:val="24"/>
          <w:szCs w:val="24"/>
        </w:rPr>
        <w:t>and the primary importance of data, especially structured and harmonised data, is central to the future of DCH</w:t>
      </w:r>
      <w:r w:rsidR="009C5082">
        <w:rPr>
          <w:sz w:val="24"/>
          <w:szCs w:val="24"/>
        </w:rPr>
        <w:t>, a sector</w:t>
      </w:r>
      <w:r w:rsidRPr="00C3108D">
        <w:rPr>
          <w:sz w:val="24"/>
          <w:szCs w:val="24"/>
        </w:rPr>
        <w:t xml:space="preserve"> where the data, contents and formats are </w:t>
      </w:r>
      <w:r w:rsidR="00F973C9" w:rsidRPr="00C3108D">
        <w:rPr>
          <w:sz w:val="24"/>
          <w:szCs w:val="24"/>
        </w:rPr>
        <w:t>heterog</w:t>
      </w:r>
      <w:r w:rsidRPr="00C3108D">
        <w:rPr>
          <w:sz w:val="24"/>
          <w:szCs w:val="24"/>
        </w:rPr>
        <w:t>eneous</w:t>
      </w:r>
      <w:r w:rsidR="00F973C9" w:rsidRPr="00C3108D">
        <w:rPr>
          <w:sz w:val="24"/>
          <w:szCs w:val="24"/>
        </w:rPr>
        <w:t xml:space="preserve"> (3D/2D, textual, audio, video</w:t>
      </w:r>
      <w:r w:rsidR="00E6097E">
        <w:rPr>
          <w:sz w:val="24"/>
          <w:szCs w:val="24"/>
        </w:rPr>
        <w:t>, multilingual</w:t>
      </w:r>
      <w:r w:rsidR="00F973C9" w:rsidRPr="00C3108D">
        <w:rPr>
          <w:sz w:val="24"/>
          <w:szCs w:val="24"/>
        </w:rPr>
        <w:t>)</w:t>
      </w:r>
      <w:r w:rsidRPr="00C3108D">
        <w:rPr>
          <w:sz w:val="24"/>
          <w:szCs w:val="24"/>
        </w:rPr>
        <w:t>.</w:t>
      </w:r>
      <w:r w:rsidR="002E4057" w:rsidRPr="002E4057">
        <w:t xml:space="preserve"> </w:t>
      </w:r>
      <w:r w:rsidR="002E4057" w:rsidRPr="002E4057">
        <w:rPr>
          <w:sz w:val="24"/>
          <w:szCs w:val="24"/>
        </w:rPr>
        <w:t>Therefore, quality standards need to be prioritized in order to achieve an excellent level of integration, enrichment, retrieval and reuse of content</w:t>
      </w:r>
      <w:r w:rsidR="00E66412">
        <w:rPr>
          <w:sz w:val="24"/>
          <w:szCs w:val="24"/>
        </w:rPr>
        <w:t>.</w:t>
      </w:r>
    </w:p>
    <w:bookmarkEnd w:id="20"/>
    <w:p w14:paraId="06280662" w14:textId="65C2F286" w:rsidR="001934D5" w:rsidRPr="00C3108D" w:rsidRDefault="005B7BF0" w:rsidP="00723EAC">
      <w:pPr>
        <w:jc w:val="both"/>
        <w:rPr>
          <w:sz w:val="24"/>
          <w:szCs w:val="24"/>
        </w:rPr>
      </w:pPr>
      <w:r w:rsidRPr="00C3108D">
        <w:rPr>
          <w:sz w:val="24"/>
          <w:szCs w:val="24"/>
        </w:rPr>
        <w:t xml:space="preserve">Linked (Open) Data </w:t>
      </w:r>
      <w:r w:rsidR="002E4057">
        <w:rPr>
          <w:sz w:val="24"/>
          <w:szCs w:val="24"/>
        </w:rPr>
        <w:t xml:space="preserve">(LOD) </w:t>
      </w:r>
      <w:r w:rsidRPr="00C3108D">
        <w:rPr>
          <w:sz w:val="24"/>
          <w:szCs w:val="24"/>
        </w:rPr>
        <w:t xml:space="preserve">performs a critical role in transforming cultural heritage collections. </w:t>
      </w:r>
      <w:r w:rsidR="002C3B7A" w:rsidRPr="002C3B7A">
        <w:rPr>
          <w:sz w:val="24"/>
          <w:szCs w:val="24"/>
        </w:rPr>
        <w:t>L</w:t>
      </w:r>
      <w:r w:rsidR="002E4057">
        <w:rPr>
          <w:sz w:val="24"/>
          <w:szCs w:val="24"/>
        </w:rPr>
        <w:t>OD</w:t>
      </w:r>
      <w:r w:rsidR="002C3B7A" w:rsidRPr="002C3B7A">
        <w:rPr>
          <w:sz w:val="24"/>
          <w:szCs w:val="24"/>
        </w:rPr>
        <w:t xml:space="preserve"> requires controlled vocabularies/authority files and </w:t>
      </w:r>
      <w:r w:rsidR="00FA6279">
        <w:rPr>
          <w:sz w:val="24"/>
          <w:szCs w:val="24"/>
        </w:rPr>
        <w:t xml:space="preserve">its impact is improved by </w:t>
      </w:r>
      <w:r w:rsidR="002C3B7A" w:rsidRPr="002C3B7A">
        <w:rPr>
          <w:sz w:val="24"/>
          <w:szCs w:val="24"/>
        </w:rPr>
        <w:t xml:space="preserve">contextualization of the </w:t>
      </w:r>
      <w:r w:rsidR="00A727F8">
        <w:rPr>
          <w:sz w:val="24"/>
          <w:szCs w:val="24"/>
        </w:rPr>
        <w:t>material</w:t>
      </w:r>
      <w:r w:rsidR="002E4057">
        <w:rPr>
          <w:sz w:val="24"/>
          <w:szCs w:val="24"/>
        </w:rPr>
        <w:t>.</w:t>
      </w:r>
      <w:r w:rsidR="006E14D6">
        <w:rPr>
          <w:sz w:val="24"/>
          <w:szCs w:val="24"/>
        </w:rPr>
        <w:t xml:space="preserve"> </w:t>
      </w:r>
    </w:p>
    <w:p w14:paraId="5502DB96" w14:textId="77777777" w:rsidR="006D3148" w:rsidRDefault="005B7BF0" w:rsidP="00723EAC">
      <w:pPr>
        <w:jc w:val="both"/>
      </w:pPr>
      <w:bookmarkStart w:id="21" w:name="_Hlk515277396"/>
      <w:r w:rsidRPr="00C3108D">
        <w:rPr>
          <w:sz w:val="24"/>
          <w:szCs w:val="24"/>
        </w:rPr>
        <w:t xml:space="preserve">Management of cultural information is challenged by issues such as knowledge representation and information integration from different contexts. There is a need to support and </w:t>
      </w:r>
      <w:r w:rsidRPr="006D3148">
        <w:rPr>
          <w:sz w:val="24"/>
          <w:szCs w:val="24"/>
          <w:u w:val="single"/>
        </w:rPr>
        <w:t>establish expert-driven holistic and user-oriented documentation of DCH</w:t>
      </w:r>
      <w:r w:rsidRPr="006D3148">
        <w:rPr>
          <w:sz w:val="24"/>
          <w:szCs w:val="24"/>
        </w:rPr>
        <w:t xml:space="preserve"> in</w:t>
      </w:r>
      <w:r w:rsidRPr="00C3108D">
        <w:rPr>
          <w:sz w:val="24"/>
          <w:szCs w:val="24"/>
        </w:rPr>
        <w:t xml:space="preserve"> order to increase the scientific, economic and social potential of advanced services to users</w:t>
      </w:r>
      <w:r w:rsidR="00CD56DA" w:rsidRPr="00C3108D">
        <w:rPr>
          <w:sz w:val="24"/>
          <w:szCs w:val="24"/>
        </w:rPr>
        <w:t>.</w:t>
      </w:r>
      <w:r w:rsidR="005E6F38">
        <w:rPr>
          <w:sz w:val="24"/>
          <w:szCs w:val="24"/>
        </w:rPr>
        <w:t xml:space="preserve"> Cultural heritage data can be an important and revealing source for big data analytics.</w:t>
      </w:r>
      <w:r w:rsidR="006D3148" w:rsidRPr="006D3148">
        <w:t xml:space="preserve"> </w:t>
      </w:r>
    </w:p>
    <w:bookmarkEnd w:id="21"/>
    <w:p w14:paraId="370B8337" w14:textId="16C314D5" w:rsidR="00F973C9" w:rsidRPr="00C3108D" w:rsidRDefault="006D3148" w:rsidP="00723EAC">
      <w:pPr>
        <w:jc w:val="both"/>
        <w:rPr>
          <w:sz w:val="24"/>
          <w:szCs w:val="24"/>
        </w:rPr>
      </w:pPr>
      <w:r w:rsidRPr="006D3148">
        <w:rPr>
          <w:sz w:val="24"/>
          <w:szCs w:val="24"/>
        </w:rPr>
        <w:t>Europeana should extend its audience where possible by incrementally increasing the amount and quality of 3D and XR content produced by others that it provides access to and by promoting and incorporating more holistic documentation driven by user needs.</w:t>
      </w:r>
    </w:p>
    <w:p w14:paraId="61A93143" w14:textId="4047318B" w:rsidR="001934D5" w:rsidRPr="00C3108D" w:rsidRDefault="001934D5" w:rsidP="00723EAC">
      <w:pPr>
        <w:jc w:val="both"/>
        <w:rPr>
          <w:sz w:val="24"/>
          <w:szCs w:val="24"/>
        </w:rPr>
      </w:pPr>
      <w:r w:rsidRPr="00C3108D">
        <w:rPr>
          <w:sz w:val="24"/>
          <w:szCs w:val="24"/>
        </w:rPr>
        <w:t xml:space="preserve">Many, especially older, cultural heritage objects are only partially preserved. The missing parts are then reconstructed while building 3D-objects. For scientific purposes each reconstructed part needs to be not only identifiable, but also documented as to how the reconstruction was conducted and why the part has the actual dimensions, actual colour etc. This holds true especially when elements of intangible heritage are incorporated into virtual reconstructions. </w:t>
      </w:r>
      <w:r w:rsidR="005E6F38">
        <w:rPr>
          <w:sz w:val="24"/>
          <w:szCs w:val="24"/>
        </w:rPr>
        <w:t xml:space="preserve">There is a need to distinguish the </w:t>
      </w:r>
      <w:r w:rsidR="001B34E3">
        <w:rPr>
          <w:sz w:val="24"/>
          <w:szCs w:val="24"/>
        </w:rPr>
        <w:t>‘</w:t>
      </w:r>
      <w:r w:rsidRPr="00F211E5">
        <w:rPr>
          <w:sz w:val="24"/>
          <w:szCs w:val="24"/>
        </w:rPr>
        <w:t>fiction</w:t>
      </w:r>
      <w:r w:rsidR="005E6F38">
        <w:rPr>
          <w:sz w:val="24"/>
          <w:szCs w:val="24"/>
        </w:rPr>
        <w:t>al</w:t>
      </w:r>
      <w:r w:rsidR="001B34E3">
        <w:rPr>
          <w:sz w:val="24"/>
          <w:szCs w:val="24"/>
        </w:rPr>
        <w:t>’</w:t>
      </w:r>
      <w:r w:rsidR="005E6F38">
        <w:rPr>
          <w:sz w:val="24"/>
          <w:szCs w:val="24"/>
        </w:rPr>
        <w:t xml:space="preserve"> and the </w:t>
      </w:r>
      <w:r w:rsidRPr="00F211E5">
        <w:rPr>
          <w:sz w:val="24"/>
          <w:szCs w:val="24"/>
        </w:rPr>
        <w:t>scien</w:t>
      </w:r>
      <w:r w:rsidR="005E6F38">
        <w:rPr>
          <w:sz w:val="24"/>
          <w:szCs w:val="24"/>
        </w:rPr>
        <w:t>tific</w:t>
      </w:r>
      <w:r w:rsidRPr="00F211E5">
        <w:rPr>
          <w:sz w:val="24"/>
          <w:szCs w:val="24"/>
        </w:rPr>
        <w:t xml:space="preserve"> </w:t>
      </w:r>
      <w:r w:rsidR="00012127">
        <w:rPr>
          <w:sz w:val="24"/>
          <w:szCs w:val="24"/>
        </w:rPr>
        <w:t xml:space="preserve">in </w:t>
      </w:r>
      <w:r w:rsidR="00012127" w:rsidRPr="00F211E5">
        <w:rPr>
          <w:sz w:val="24"/>
          <w:szCs w:val="24"/>
        </w:rPr>
        <w:t>virtual</w:t>
      </w:r>
      <w:r w:rsidRPr="00F211E5">
        <w:rPr>
          <w:sz w:val="24"/>
          <w:szCs w:val="24"/>
        </w:rPr>
        <w:t xml:space="preserve"> models.</w:t>
      </w:r>
      <w:r w:rsidR="00865F59" w:rsidRPr="00C3108D">
        <w:rPr>
          <w:sz w:val="24"/>
          <w:szCs w:val="24"/>
        </w:rPr>
        <w:t xml:space="preserve"> </w:t>
      </w:r>
    </w:p>
    <w:p w14:paraId="1808D653" w14:textId="137FE089" w:rsidR="00CD56DA" w:rsidRPr="00D95E08" w:rsidRDefault="00CD56DA" w:rsidP="00723EAC">
      <w:pPr>
        <w:pStyle w:val="Heading1"/>
        <w:numPr>
          <w:ilvl w:val="0"/>
          <w:numId w:val="35"/>
        </w:numPr>
        <w:jc w:val="both"/>
      </w:pPr>
      <w:bookmarkStart w:id="22" w:name="_Toc512355157"/>
      <w:bookmarkStart w:id="23" w:name="_Hlk515273927"/>
      <w:r w:rsidRPr="00D95E08">
        <w:lastRenderedPageBreak/>
        <w:t>Powering contextualisation</w:t>
      </w:r>
      <w:bookmarkEnd w:id="22"/>
    </w:p>
    <w:p w14:paraId="64417F62" w14:textId="77777777" w:rsidR="001B34E3" w:rsidRDefault="001934D5" w:rsidP="00723EAC">
      <w:pPr>
        <w:jc w:val="both"/>
      </w:pPr>
      <w:bookmarkStart w:id="24" w:name="_Hlk515277428"/>
      <w:bookmarkEnd w:id="23"/>
      <w:r w:rsidRPr="00C3108D">
        <w:rPr>
          <w:sz w:val="24"/>
          <w:szCs w:val="24"/>
        </w:rPr>
        <w:t>Further m</w:t>
      </w:r>
      <w:r w:rsidR="00CD56DA" w:rsidRPr="00C3108D">
        <w:rPr>
          <w:sz w:val="24"/>
          <w:szCs w:val="24"/>
        </w:rPr>
        <w:t>omentum is needed to ensure that e</w:t>
      </w:r>
      <w:r w:rsidR="00076EF2" w:rsidRPr="00C3108D">
        <w:rPr>
          <w:sz w:val="24"/>
          <w:szCs w:val="24"/>
        </w:rPr>
        <w:t xml:space="preserve">veryone involved in creating virtual objects </w:t>
      </w:r>
      <w:r w:rsidR="00CD56DA" w:rsidRPr="00C3108D">
        <w:rPr>
          <w:sz w:val="24"/>
          <w:szCs w:val="24"/>
        </w:rPr>
        <w:t>provides</w:t>
      </w:r>
      <w:r w:rsidR="00076EF2" w:rsidRPr="00C3108D">
        <w:rPr>
          <w:sz w:val="24"/>
          <w:szCs w:val="24"/>
        </w:rPr>
        <w:t xml:space="preserve"> information to support contextualisation </w:t>
      </w:r>
      <w:r w:rsidR="00CD56DA" w:rsidRPr="00C3108D">
        <w:rPr>
          <w:sz w:val="24"/>
          <w:szCs w:val="24"/>
        </w:rPr>
        <w:t>to</w:t>
      </w:r>
      <w:r w:rsidR="00076EF2" w:rsidRPr="00C3108D">
        <w:rPr>
          <w:sz w:val="24"/>
          <w:szCs w:val="24"/>
        </w:rPr>
        <w:t xml:space="preserve"> accompany their products</w:t>
      </w:r>
      <w:bookmarkEnd w:id="24"/>
      <w:r w:rsidR="00076EF2" w:rsidRPr="00C3108D">
        <w:rPr>
          <w:sz w:val="24"/>
          <w:szCs w:val="24"/>
        </w:rPr>
        <w:t xml:space="preserve">. Standards and methods should be followed if available and other cases </w:t>
      </w:r>
      <w:r w:rsidR="001B34E3">
        <w:rPr>
          <w:sz w:val="24"/>
          <w:szCs w:val="24"/>
        </w:rPr>
        <w:t>addressed to</w:t>
      </w:r>
      <w:r w:rsidR="00076EF2" w:rsidRPr="00C3108D">
        <w:rPr>
          <w:sz w:val="24"/>
          <w:szCs w:val="24"/>
        </w:rPr>
        <w:t xml:space="preserve"> provid</w:t>
      </w:r>
      <w:r w:rsidR="001B34E3">
        <w:rPr>
          <w:sz w:val="24"/>
          <w:szCs w:val="24"/>
        </w:rPr>
        <w:t>e</w:t>
      </w:r>
      <w:r w:rsidR="00076EF2" w:rsidRPr="00C3108D">
        <w:rPr>
          <w:sz w:val="24"/>
          <w:szCs w:val="24"/>
        </w:rPr>
        <w:t xml:space="preserve"> sufficient metadata </w:t>
      </w:r>
      <w:r w:rsidR="001B34E3">
        <w:rPr>
          <w:sz w:val="24"/>
          <w:szCs w:val="24"/>
        </w:rPr>
        <w:t>for</w:t>
      </w:r>
      <w:r w:rsidR="00076EF2" w:rsidRPr="00C3108D">
        <w:rPr>
          <w:sz w:val="24"/>
          <w:szCs w:val="24"/>
        </w:rPr>
        <w:t xml:space="preserve"> different contextualisation scenarios</w:t>
      </w:r>
      <w:r w:rsidR="001B34E3">
        <w:rPr>
          <w:sz w:val="24"/>
          <w:szCs w:val="24"/>
        </w:rPr>
        <w:t>.</w:t>
      </w:r>
      <w:r w:rsidR="001B34E3" w:rsidRPr="001B34E3">
        <w:t xml:space="preserve"> </w:t>
      </w:r>
    </w:p>
    <w:p w14:paraId="3D883C2A" w14:textId="37AEFA5C" w:rsidR="00076EF2" w:rsidRPr="00C3108D" w:rsidRDefault="001B34E3" w:rsidP="00723EAC">
      <w:pPr>
        <w:jc w:val="both"/>
        <w:rPr>
          <w:sz w:val="24"/>
          <w:szCs w:val="24"/>
        </w:rPr>
      </w:pPr>
      <w:r w:rsidRPr="001B34E3">
        <w:rPr>
          <w:sz w:val="24"/>
          <w:szCs w:val="24"/>
        </w:rPr>
        <w:t xml:space="preserve">Many 3D models created in the past have limited applicability due to a lack of associated metadata. </w:t>
      </w:r>
      <w:r>
        <w:rPr>
          <w:sz w:val="24"/>
          <w:szCs w:val="24"/>
        </w:rPr>
        <w:t>T</w:t>
      </w:r>
      <w:r w:rsidRPr="001B34E3">
        <w:rPr>
          <w:sz w:val="24"/>
          <w:szCs w:val="24"/>
        </w:rPr>
        <w:t>his can make it difficult to present cultural heritage objects in the context necessary to understand their meaning and relevance or to draw scientific conclusions from them. DCH projects should emphasise the historical and cultural background of what they are presenting.</w:t>
      </w:r>
    </w:p>
    <w:p w14:paraId="000DDF91" w14:textId="1947D3B0" w:rsidR="00E6097E" w:rsidRDefault="001B2576" w:rsidP="00723EAC">
      <w:pPr>
        <w:jc w:val="both"/>
        <w:rPr>
          <w:sz w:val="24"/>
          <w:szCs w:val="24"/>
        </w:rPr>
      </w:pPr>
      <w:bookmarkStart w:id="25" w:name="_Hlk515277456"/>
      <w:r w:rsidRPr="00C3108D">
        <w:rPr>
          <w:sz w:val="24"/>
          <w:szCs w:val="24"/>
        </w:rPr>
        <w:t>Storytelling is an important example of contextuali</w:t>
      </w:r>
      <w:r w:rsidR="00CD56DA" w:rsidRPr="00C3108D">
        <w:rPr>
          <w:sz w:val="24"/>
          <w:szCs w:val="24"/>
        </w:rPr>
        <w:t>s</w:t>
      </w:r>
      <w:r w:rsidRPr="00C3108D">
        <w:rPr>
          <w:sz w:val="24"/>
          <w:szCs w:val="24"/>
        </w:rPr>
        <w:t>ation.</w:t>
      </w:r>
      <w:r w:rsidR="00CD56DA" w:rsidRPr="00C3108D">
        <w:rPr>
          <w:sz w:val="24"/>
          <w:szCs w:val="24"/>
        </w:rPr>
        <w:t xml:space="preserve"> </w:t>
      </w:r>
      <w:r w:rsidRPr="001B34E3">
        <w:rPr>
          <w:sz w:val="24"/>
          <w:szCs w:val="24"/>
        </w:rPr>
        <w:t>New technologies e.g. 3D</w:t>
      </w:r>
      <w:r w:rsidR="00CD56DA" w:rsidRPr="001B34E3">
        <w:rPr>
          <w:sz w:val="24"/>
          <w:szCs w:val="24"/>
        </w:rPr>
        <w:t xml:space="preserve"> and XR </w:t>
      </w:r>
      <w:r w:rsidRPr="001B34E3">
        <w:rPr>
          <w:sz w:val="24"/>
          <w:szCs w:val="24"/>
        </w:rPr>
        <w:t>offer opportunities to engage, to teach,</w:t>
      </w:r>
      <w:r w:rsidR="00E6097E">
        <w:rPr>
          <w:sz w:val="24"/>
          <w:szCs w:val="24"/>
        </w:rPr>
        <w:t xml:space="preserve"> </w:t>
      </w:r>
      <w:r w:rsidRPr="001B34E3">
        <w:rPr>
          <w:sz w:val="24"/>
          <w:szCs w:val="24"/>
        </w:rPr>
        <w:t>to involve</w:t>
      </w:r>
      <w:r w:rsidR="00E6097E">
        <w:rPr>
          <w:sz w:val="24"/>
          <w:szCs w:val="24"/>
        </w:rPr>
        <w:t xml:space="preserve"> and are </w:t>
      </w:r>
      <w:r w:rsidR="00E6097E" w:rsidRPr="00E6097E">
        <w:rPr>
          <w:sz w:val="24"/>
          <w:szCs w:val="24"/>
        </w:rPr>
        <w:t>supportive elements for CH</w:t>
      </w:r>
      <w:r w:rsidR="00E6097E">
        <w:rPr>
          <w:sz w:val="24"/>
          <w:szCs w:val="24"/>
        </w:rPr>
        <w:t xml:space="preserve"> </w:t>
      </w:r>
      <w:r w:rsidR="00E6097E" w:rsidRPr="00E6097E">
        <w:rPr>
          <w:sz w:val="24"/>
          <w:szCs w:val="24"/>
        </w:rPr>
        <w:t xml:space="preserve">storytelling. </w:t>
      </w:r>
      <w:r w:rsidR="001B34E3">
        <w:rPr>
          <w:sz w:val="24"/>
          <w:szCs w:val="24"/>
        </w:rPr>
        <w:t xml:space="preserve">They </w:t>
      </w:r>
      <w:r w:rsidRPr="001B34E3">
        <w:rPr>
          <w:sz w:val="24"/>
          <w:szCs w:val="24"/>
        </w:rPr>
        <w:t xml:space="preserve">will be an important part of digital/virtual exhibitions </w:t>
      </w:r>
      <w:r w:rsidR="001B34E3">
        <w:rPr>
          <w:sz w:val="24"/>
          <w:szCs w:val="24"/>
        </w:rPr>
        <w:t>which</w:t>
      </w:r>
      <w:r w:rsidRPr="001B34E3">
        <w:rPr>
          <w:sz w:val="24"/>
          <w:szCs w:val="24"/>
        </w:rPr>
        <w:t xml:space="preserve"> transmit both tangible and intangible cultural heritage.</w:t>
      </w:r>
      <w:r w:rsidRPr="00C3108D">
        <w:rPr>
          <w:sz w:val="24"/>
          <w:szCs w:val="24"/>
        </w:rPr>
        <w:t xml:space="preserve"> </w:t>
      </w:r>
    </w:p>
    <w:p w14:paraId="63B00338" w14:textId="1122D339" w:rsidR="001B2576" w:rsidRPr="00C3108D" w:rsidRDefault="001B2576" w:rsidP="00723EAC">
      <w:pPr>
        <w:jc w:val="both"/>
        <w:rPr>
          <w:sz w:val="24"/>
          <w:szCs w:val="24"/>
        </w:rPr>
      </w:pPr>
      <w:r w:rsidRPr="00C3108D">
        <w:rPr>
          <w:sz w:val="24"/>
          <w:szCs w:val="24"/>
        </w:rPr>
        <w:t>Methods of visuali</w:t>
      </w:r>
      <w:r w:rsidR="00CD56DA" w:rsidRPr="00C3108D">
        <w:rPr>
          <w:sz w:val="24"/>
          <w:szCs w:val="24"/>
        </w:rPr>
        <w:t>s</w:t>
      </w:r>
      <w:r w:rsidRPr="00C3108D">
        <w:rPr>
          <w:sz w:val="24"/>
          <w:szCs w:val="24"/>
        </w:rPr>
        <w:t xml:space="preserve">ation based on new technologies need to be exploited. </w:t>
      </w:r>
      <w:r w:rsidR="001B34E3">
        <w:rPr>
          <w:sz w:val="24"/>
          <w:szCs w:val="24"/>
        </w:rPr>
        <w:t>E</w:t>
      </w:r>
      <w:r w:rsidRPr="00C3108D">
        <w:rPr>
          <w:sz w:val="24"/>
          <w:szCs w:val="24"/>
        </w:rPr>
        <w:t xml:space="preserve">asy-to-use instruments </w:t>
      </w:r>
      <w:r w:rsidR="001B34E3">
        <w:rPr>
          <w:sz w:val="24"/>
          <w:szCs w:val="24"/>
        </w:rPr>
        <w:t>should</w:t>
      </w:r>
      <w:r w:rsidRPr="00C3108D">
        <w:rPr>
          <w:sz w:val="24"/>
          <w:szCs w:val="24"/>
        </w:rPr>
        <w:t xml:space="preserve"> be developed to support the integration of new technologies in digital exhibitions and other storytelling applications. </w:t>
      </w:r>
    </w:p>
    <w:p w14:paraId="0811A02F" w14:textId="2DDF7597" w:rsidR="001B34E3" w:rsidRDefault="001B2576" w:rsidP="00723EAC">
      <w:pPr>
        <w:jc w:val="both"/>
      </w:pPr>
      <w:bookmarkStart w:id="26" w:name="_Hlk515277506"/>
      <w:bookmarkEnd w:id="25"/>
      <w:r w:rsidRPr="002E4057">
        <w:rPr>
          <w:sz w:val="24"/>
          <w:szCs w:val="24"/>
        </w:rPr>
        <w:t>Immersive storytelling</w:t>
      </w:r>
      <w:r w:rsidR="00CD56DA" w:rsidRPr="002E4057">
        <w:rPr>
          <w:sz w:val="24"/>
          <w:szCs w:val="24"/>
        </w:rPr>
        <w:t xml:space="preserve"> through XR</w:t>
      </w:r>
      <w:r w:rsidRPr="002E4057">
        <w:rPr>
          <w:sz w:val="24"/>
          <w:szCs w:val="24"/>
        </w:rPr>
        <w:t xml:space="preserve"> playful learning (learning through story, play and interaction) in cultural heritage experiences is a</w:t>
      </w:r>
      <w:r w:rsidR="001B34E3">
        <w:rPr>
          <w:sz w:val="24"/>
          <w:szCs w:val="24"/>
        </w:rPr>
        <w:t>n important o</w:t>
      </w:r>
      <w:r w:rsidRPr="002E4057">
        <w:rPr>
          <w:sz w:val="24"/>
          <w:szCs w:val="24"/>
        </w:rPr>
        <w:t>bjective</w:t>
      </w:r>
      <w:r w:rsidRPr="00F211E5">
        <w:rPr>
          <w:i/>
          <w:sz w:val="24"/>
          <w:szCs w:val="24"/>
        </w:rPr>
        <w:t xml:space="preserve">. </w:t>
      </w:r>
      <w:r w:rsidR="001934D5" w:rsidRPr="00C3108D">
        <w:rPr>
          <w:sz w:val="24"/>
          <w:szCs w:val="24"/>
        </w:rPr>
        <w:t>New areas of creating and representing meaning</w:t>
      </w:r>
      <w:r w:rsidR="001B34E3">
        <w:rPr>
          <w:sz w:val="24"/>
          <w:szCs w:val="24"/>
        </w:rPr>
        <w:t>,</w:t>
      </w:r>
      <w:r w:rsidR="001934D5" w:rsidRPr="00C3108D">
        <w:rPr>
          <w:sz w:val="24"/>
          <w:szCs w:val="24"/>
        </w:rPr>
        <w:t xml:space="preserve"> in order to provide for personalised experience</w:t>
      </w:r>
      <w:r w:rsidR="001B34E3">
        <w:rPr>
          <w:sz w:val="24"/>
          <w:szCs w:val="24"/>
        </w:rPr>
        <w:t xml:space="preserve"> should be explored along with </w:t>
      </w:r>
      <w:r w:rsidR="002E4057">
        <w:rPr>
          <w:sz w:val="24"/>
          <w:szCs w:val="24"/>
        </w:rPr>
        <w:t>increas</w:t>
      </w:r>
      <w:r w:rsidR="001B34E3">
        <w:rPr>
          <w:sz w:val="24"/>
          <w:szCs w:val="24"/>
        </w:rPr>
        <w:t>ed</w:t>
      </w:r>
      <w:r w:rsidR="002E4057">
        <w:rPr>
          <w:sz w:val="24"/>
          <w:szCs w:val="24"/>
        </w:rPr>
        <w:t xml:space="preserve"> interaction</w:t>
      </w:r>
      <w:r w:rsidR="001B34E3">
        <w:rPr>
          <w:sz w:val="24"/>
          <w:szCs w:val="24"/>
        </w:rPr>
        <w:t xml:space="preserve">. </w:t>
      </w:r>
      <w:r w:rsidR="00124DC1" w:rsidRPr="00124DC1">
        <w:t xml:space="preserve"> </w:t>
      </w:r>
      <w:r w:rsidR="00124DC1" w:rsidRPr="00124DC1">
        <w:rPr>
          <w:sz w:val="24"/>
          <w:szCs w:val="24"/>
        </w:rPr>
        <w:t>Presence can be defined as a psychological perception of being Immersed in the XR environment and is essential for engagement and cognitive connection to the content</w:t>
      </w:r>
      <w:r w:rsidR="00124DC1">
        <w:rPr>
          <w:sz w:val="24"/>
          <w:szCs w:val="24"/>
        </w:rPr>
        <w:t>. Th</w:t>
      </w:r>
      <w:r w:rsidR="001B34E3">
        <w:rPr>
          <w:sz w:val="24"/>
          <w:szCs w:val="24"/>
        </w:rPr>
        <w:t xml:space="preserve">is involves </w:t>
      </w:r>
      <w:r w:rsidR="00124DC1">
        <w:rPr>
          <w:sz w:val="24"/>
          <w:szCs w:val="24"/>
        </w:rPr>
        <w:t xml:space="preserve">content which </w:t>
      </w:r>
      <w:r w:rsidR="00124DC1" w:rsidRPr="00124DC1">
        <w:rPr>
          <w:sz w:val="24"/>
          <w:szCs w:val="24"/>
        </w:rPr>
        <w:t>is relevant and coherent in terms of social and cultural factors</w:t>
      </w:r>
      <w:r w:rsidR="00124DC1">
        <w:rPr>
          <w:sz w:val="24"/>
          <w:szCs w:val="24"/>
        </w:rPr>
        <w:t xml:space="preserve">, including </w:t>
      </w:r>
      <w:r w:rsidR="001B34E3">
        <w:rPr>
          <w:sz w:val="24"/>
          <w:szCs w:val="24"/>
        </w:rPr>
        <w:t>aspects such as</w:t>
      </w:r>
      <w:r w:rsidR="002E4057">
        <w:rPr>
          <w:sz w:val="24"/>
          <w:szCs w:val="24"/>
        </w:rPr>
        <w:t xml:space="preserve"> </w:t>
      </w:r>
      <w:r w:rsidR="001934D5" w:rsidRPr="00C3108D">
        <w:rPr>
          <w:sz w:val="24"/>
          <w:szCs w:val="24"/>
        </w:rPr>
        <w:t xml:space="preserve">cultural values, recognition and significance, representation of emotional intelligence, </w:t>
      </w:r>
      <w:r w:rsidR="002E4057">
        <w:rPr>
          <w:sz w:val="24"/>
          <w:szCs w:val="24"/>
        </w:rPr>
        <w:t xml:space="preserve">semantic </w:t>
      </w:r>
      <w:r w:rsidR="001934D5" w:rsidRPr="00C3108D">
        <w:rPr>
          <w:sz w:val="24"/>
          <w:szCs w:val="24"/>
        </w:rPr>
        <w:t>time</w:t>
      </w:r>
      <w:r w:rsidR="002E4057">
        <w:rPr>
          <w:sz w:val="24"/>
          <w:szCs w:val="24"/>
        </w:rPr>
        <w:t xml:space="preserve">, </w:t>
      </w:r>
      <w:r w:rsidR="001934D5" w:rsidRPr="00C3108D">
        <w:rPr>
          <w:sz w:val="24"/>
          <w:szCs w:val="24"/>
        </w:rPr>
        <w:t>space</w:t>
      </w:r>
      <w:r w:rsidR="002E4057">
        <w:rPr>
          <w:sz w:val="24"/>
          <w:szCs w:val="24"/>
        </w:rPr>
        <w:t xml:space="preserve">, </w:t>
      </w:r>
      <w:r w:rsidR="001934D5" w:rsidRPr="00C3108D">
        <w:rPr>
          <w:sz w:val="24"/>
          <w:szCs w:val="24"/>
        </w:rPr>
        <w:t>provenance</w:t>
      </w:r>
      <w:r w:rsidR="002E4057">
        <w:rPr>
          <w:sz w:val="24"/>
          <w:szCs w:val="24"/>
        </w:rPr>
        <w:t xml:space="preserve"> and</w:t>
      </w:r>
      <w:r w:rsidR="001934D5" w:rsidRPr="00C3108D">
        <w:rPr>
          <w:sz w:val="24"/>
          <w:szCs w:val="24"/>
        </w:rPr>
        <w:t xml:space="preserve"> uncertainty </w:t>
      </w:r>
      <w:r w:rsidR="007F5711">
        <w:rPr>
          <w:sz w:val="24"/>
          <w:szCs w:val="24"/>
        </w:rPr>
        <w:t>and</w:t>
      </w:r>
      <w:r w:rsidR="001934D5" w:rsidRPr="00C3108D">
        <w:rPr>
          <w:sz w:val="24"/>
          <w:szCs w:val="24"/>
        </w:rPr>
        <w:t xml:space="preserve"> emotion-based user interfaces.</w:t>
      </w:r>
      <w:r w:rsidR="001B34E3" w:rsidRPr="001B34E3">
        <w:t xml:space="preserve"> </w:t>
      </w:r>
    </w:p>
    <w:bookmarkEnd w:id="26"/>
    <w:p w14:paraId="7648DB0B" w14:textId="210D2215" w:rsidR="001B2576" w:rsidRPr="00C3108D" w:rsidRDefault="00CD56DA" w:rsidP="00723EAC">
      <w:pPr>
        <w:jc w:val="both"/>
        <w:rPr>
          <w:sz w:val="24"/>
          <w:szCs w:val="24"/>
        </w:rPr>
      </w:pPr>
      <w:r w:rsidRPr="00C3108D">
        <w:rPr>
          <w:sz w:val="24"/>
          <w:szCs w:val="24"/>
        </w:rPr>
        <w:t xml:space="preserve">Simulation of 3D worlds should include </w:t>
      </w:r>
      <w:r w:rsidR="002A0315">
        <w:rPr>
          <w:sz w:val="24"/>
          <w:szCs w:val="24"/>
        </w:rPr>
        <w:t xml:space="preserve">multilingual </w:t>
      </w:r>
      <w:r w:rsidRPr="00C3108D">
        <w:rPr>
          <w:sz w:val="24"/>
          <w:szCs w:val="24"/>
        </w:rPr>
        <w:t>interaction with people (including ancient languages) and other actors such as animals</w:t>
      </w:r>
      <w:r w:rsidR="002A0315">
        <w:rPr>
          <w:sz w:val="24"/>
          <w:szCs w:val="24"/>
        </w:rPr>
        <w:t>, together with</w:t>
      </w:r>
      <w:r w:rsidR="007F5711">
        <w:rPr>
          <w:sz w:val="24"/>
          <w:szCs w:val="24"/>
        </w:rPr>
        <w:t xml:space="preserve"> </w:t>
      </w:r>
      <w:r w:rsidRPr="00C3108D">
        <w:rPr>
          <w:sz w:val="24"/>
          <w:szCs w:val="24"/>
        </w:rPr>
        <w:t xml:space="preserve">integration of sensory aspects such as touch, smell and sound. </w:t>
      </w:r>
    </w:p>
    <w:p w14:paraId="08797A92" w14:textId="77777777" w:rsidR="00934D45" w:rsidRDefault="001B2576" w:rsidP="00723EAC">
      <w:pPr>
        <w:jc w:val="both"/>
      </w:pPr>
      <w:r w:rsidRPr="00C3108D">
        <w:rPr>
          <w:sz w:val="24"/>
          <w:szCs w:val="24"/>
        </w:rPr>
        <w:t>Gamification is a feedback loop that incentivi</w:t>
      </w:r>
      <w:r w:rsidR="007F5711">
        <w:rPr>
          <w:sz w:val="24"/>
          <w:szCs w:val="24"/>
        </w:rPr>
        <w:t>s</w:t>
      </w:r>
      <w:r w:rsidRPr="00C3108D">
        <w:rPr>
          <w:sz w:val="24"/>
          <w:szCs w:val="24"/>
        </w:rPr>
        <w:t xml:space="preserve">es the user to progress in the experience or learning process. </w:t>
      </w:r>
      <w:r w:rsidR="002A0315" w:rsidRPr="002A0315">
        <w:rPr>
          <w:sz w:val="24"/>
          <w:szCs w:val="24"/>
        </w:rPr>
        <w:t>Care should be taken to use gamification elements judiciously so as not to overpower the story or learning objective</w:t>
      </w:r>
      <w:r w:rsidR="002A0315">
        <w:rPr>
          <w:sz w:val="24"/>
          <w:szCs w:val="24"/>
        </w:rPr>
        <w:t>.</w:t>
      </w:r>
      <w:r w:rsidR="002A0315" w:rsidRPr="002A0315">
        <w:rPr>
          <w:sz w:val="24"/>
          <w:szCs w:val="24"/>
        </w:rPr>
        <w:t xml:space="preserve"> </w:t>
      </w:r>
      <w:r w:rsidRPr="00C3108D">
        <w:rPr>
          <w:sz w:val="24"/>
          <w:szCs w:val="24"/>
        </w:rPr>
        <w:t>To sharpen the</w:t>
      </w:r>
      <w:r w:rsidR="002A0315">
        <w:rPr>
          <w:sz w:val="24"/>
          <w:szCs w:val="24"/>
        </w:rPr>
        <w:t>ir</w:t>
      </w:r>
      <w:r w:rsidRPr="00C3108D">
        <w:rPr>
          <w:sz w:val="24"/>
          <w:szCs w:val="24"/>
        </w:rPr>
        <w:t xml:space="preserve"> </w:t>
      </w:r>
      <w:r w:rsidR="001B34E3">
        <w:rPr>
          <w:sz w:val="24"/>
          <w:szCs w:val="24"/>
        </w:rPr>
        <w:t>successful</w:t>
      </w:r>
      <w:r w:rsidRPr="00C3108D">
        <w:rPr>
          <w:sz w:val="24"/>
          <w:szCs w:val="24"/>
        </w:rPr>
        <w:t xml:space="preserve"> use, gamification techniques </w:t>
      </w:r>
      <w:r w:rsidR="002A0315">
        <w:rPr>
          <w:sz w:val="24"/>
          <w:szCs w:val="24"/>
        </w:rPr>
        <w:t>should be mapped to the e</w:t>
      </w:r>
      <w:r w:rsidRPr="00C3108D">
        <w:rPr>
          <w:sz w:val="24"/>
          <w:szCs w:val="24"/>
        </w:rPr>
        <w:t>motional result</w:t>
      </w:r>
      <w:r w:rsidR="002A0315">
        <w:rPr>
          <w:sz w:val="24"/>
          <w:szCs w:val="24"/>
        </w:rPr>
        <w:t>s achieved</w:t>
      </w:r>
      <w:r w:rsidRPr="00C3108D">
        <w:rPr>
          <w:sz w:val="24"/>
          <w:szCs w:val="24"/>
        </w:rPr>
        <w:t>.</w:t>
      </w:r>
      <w:r w:rsidR="00934D45" w:rsidRPr="00934D45">
        <w:t xml:space="preserve"> </w:t>
      </w:r>
    </w:p>
    <w:p w14:paraId="0298B206" w14:textId="73D69A26" w:rsidR="00776FE1" w:rsidRPr="00D95E08" w:rsidRDefault="006D3148" w:rsidP="00723EAC">
      <w:pPr>
        <w:pStyle w:val="Heading1"/>
        <w:numPr>
          <w:ilvl w:val="0"/>
          <w:numId w:val="35"/>
        </w:numPr>
        <w:jc w:val="both"/>
      </w:pPr>
      <w:bookmarkStart w:id="27" w:name="_Toc512355158"/>
      <w:bookmarkStart w:id="28" w:name="_Hlk515273956"/>
      <w:r>
        <w:t>F</w:t>
      </w:r>
      <w:r w:rsidR="00F973C9" w:rsidRPr="00D95E08">
        <w:t>rameworks and standards</w:t>
      </w:r>
      <w:bookmarkEnd w:id="27"/>
      <w:r>
        <w:t>: a navigable map</w:t>
      </w:r>
    </w:p>
    <w:bookmarkEnd w:id="28"/>
    <w:p w14:paraId="74BE7F08" w14:textId="0DB07AA4" w:rsidR="00B85483" w:rsidRDefault="009B12D9" w:rsidP="00723EAC">
      <w:pPr>
        <w:jc w:val="both"/>
        <w:rPr>
          <w:sz w:val="24"/>
          <w:szCs w:val="24"/>
        </w:rPr>
      </w:pPr>
      <w:r w:rsidRPr="009B12D9">
        <w:rPr>
          <w:sz w:val="24"/>
          <w:szCs w:val="24"/>
        </w:rPr>
        <w:t xml:space="preserve">More powerful, intelligent and interconnected </w:t>
      </w:r>
      <w:r w:rsidRPr="00934D45">
        <w:rPr>
          <w:sz w:val="24"/>
          <w:szCs w:val="24"/>
        </w:rPr>
        <w:t xml:space="preserve">standards </w:t>
      </w:r>
      <w:r w:rsidRPr="009B12D9">
        <w:rPr>
          <w:sz w:val="24"/>
          <w:szCs w:val="24"/>
        </w:rPr>
        <w:t>are required that can be used across domains, creating open format</w:t>
      </w:r>
      <w:r w:rsidR="00934D45">
        <w:rPr>
          <w:sz w:val="24"/>
          <w:szCs w:val="24"/>
        </w:rPr>
        <w:t>s, based on ontologies,</w:t>
      </w:r>
      <w:r w:rsidRPr="009B12D9">
        <w:rPr>
          <w:sz w:val="24"/>
          <w:szCs w:val="24"/>
        </w:rPr>
        <w:t xml:space="preserve"> that </w:t>
      </w:r>
      <w:r w:rsidR="00934D45">
        <w:rPr>
          <w:sz w:val="24"/>
          <w:szCs w:val="24"/>
        </w:rPr>
        <w:t>are</w:t>
      </w:r>
      <w:r w:rsidRPr="009B12D9">
        <w:rPr>
          <w:sz w:val="24"/>
          <w:szCs w:val="24"/>
        </w:rPr>
        <w:t xml:space="preserve"> interoperable in different systems and disciplines</w:t>
      </w:r>
      <w:r w:rsidR="00934D45">
        <w:rPr>
          <w:sz w:val="24"/>
          <w:szCs w:val="24"/>
        </w:rPr>
        <w:t>.</w:t>
      </w:r>
    </w:p>
    <w:p w14:paraId="520FC1C9" w14:textId="3921B056" w:rsidR="00B2000D" w:rsidRPr="00C3108D" w:rsidRDefault="00776FE1" w:rsidP="00723EAC">
      <w:pPr>
        <w:jc w:val="both"/>
        <w:rPr>
          <w:sz w:val="24"/>
          <w:szCs w:val="24"/>
        </w:rPr>
      </w:pPr>
      <w:bookmarkStart w:id="29" w:name="_Hlk515278846"/>
      <w:r w:rsidRPr="00C3108D">
        <w:rPr>
          <w:sz w:val="24"/>
          <w:szCs w:val="24"/>
        </w:rPr>
        <w:lastRenderedPageBreak/>
        <w:t xml:space="preserve">Emerging </w:t>
      </w:r>
      <w:r w:rsidR="00F973C9" w:rsidRPr="00C3108D">
        <w:rPr>
          <w:sz w:val="24"/>
          <w:szCs w:val="24"/>
        </w:rPr>
        <w:t xml:space="preserve">open interoperable </w:t>
      </w:r>
      <w:r w:rsidRPr="00C3108D">
        <w:rPr>
          <w:sz w:val="24"/>
          <w:szCs w:val="24"/>
        </w:rPr>
        <w:t>frameworks and standards which support</w:t>
      </w:r>
      <w:r w:rsidR="00F973C9" w:rsidRPr="00C3108D">
        <w:rPr>
          <w:sz w:val="24"/>
          <w:szCs w:val="24"/>
        </w:rPr>
        <w:t>,</w:t>
      </w:r>
      <w:r w:rsidRPr="00C3108D">
        <w:rPr>
          <w:sz w:val="24"/>
          <w:szCs w:val="24"/>
        </w:rPr>
        <w:t xml:space="preserve"> create and share</w:t>
      </w:r>
      <w:bookmarkEnd w:id="29"/>
      <w:r w:rsidRPr="00C3108D">
        <w:rPr>
          <w:sz w:val="24"/>
          <w:szCs w:val="24"/>
        </w:rPr>
        <w:t xml:space="preserve"> </w:t>
      </w:r>
      <w:bookmarkStart w:id="30" w:name="_Hlk515277566"/>
      <w:r w:rsidR="00F973C9" w:rsidRPr="00C3108D">
        <w:rPr>
          <w:sz w:val="24"/>
          <w:szCs w:val="24"/>
        </w:rPr>
        <w:t xml:space="preserve">DCH such as the International Image Interoperability Framework </w:t>
      </w:r>
      <w:r w:rsidRPr="00C3108D">
        <w:rPr>
          <w:sz w:val="24"/>
          <w:szCs w:val="24"/>
        </w:rPr>
        <w:t>(IIIF)</w:t>
      </w:r>
      <w:r w:rsidR="00934D45">
        <w:rPr>
          <w:sz w:val="24"/>
          <w:szCs w:val="24"/>
        </w:rPr>
        <w:t>,</w:t>
      </w:r>
      <w:r w:rsidRPr="00C3108D">
        <w:rPr>
          <w:sz w:val="24"/>
          <w:szCs w:val="24"/>
        </w:rPr>
        <w:t xml:space="preserve"> Copernicus for Cultural Heritage and others, should be promoted and fast-tracked.</w:t>
      </w:r>
      <w:r w:rsidR="00B2000D" w:rsidRPr="00C3108D">
        <w:rPr>
          <w:sz w:val="24"/>
          <w:szCs w:val="24"/>
        </w:rPr>
        <w:t xml:space="preserve"> </w:t>
      </w:r>
      <w:r w:rsidR="00F973C9" w:rsidRPr="00C3108D">
        <w:rPr>
          <w:sz w:val="24"/>
          <w:szCs w:val="24"/>
        </w:rPr>
        <w:t xml:space="preserve">However, </w:t>
      </w:r>
      <w:r w:rsidR="00B2000D" w:rsidRPr="00C3108D">
        <w:rPr>
          <w:sz w:val="24"/>
          <w:szCs w:val="24"/>
        </w:rPr>
        <w:t xml:space="preserve">current standards </w:t>
      </w:r>
      <w:r w:rsidR="00F973C9" w:rsidRPr="00C3108D">
        <w:rPr>
          <w:sz w:val="24"/>
          <w:szCs w:val="24"/>
        </w:rPr>
        <w:t xml:space="preserve">should be </w:t>
      </w:r>
      <w:r w:rsidR="00865F59" w:rsidRPr="00C3108D">
        <w:rPr>
          <w:sz w:val="24"/>
          <w:szCs w:val="24"/>
        </w:rPr>
        <w:t>preserved and</w:t>
      </w:r>
      <w:r w:rsidR="00B2000D" w:rsidRPr="00C3108D">
        <w:rPr>
          <w:sz w:val="24"/>
          <w:szCs w:val="24"/>
        </w:rPr>
        <w:t xml:space="preserve"> </w:t>
      </w:r>
      <w:r w:rsidR="00CD78EA" w:rsidRPr="00C3108D">
        <w:rPr>
          <w:sz w:val="24"/>
          <w:szCs w:val="24"/>
        </w:rPr>
        <w:t xml:space="preserve">continuity through </w:t>
      </w:r>
      <w:r w:rsidR="00B2000D" w:rsidRPr="00C3108D">
        <w:rPr>
          <w:sz w:val="24"/>
          <w:szCs w:val="24"/>
        </w:rPr>
        <w:t>backward-compatibility</w:t>
      </w:r>
      <w:r w:rsidR="00F973C9" w:rsidRPr="00C3108D">
        <w:rPr>
          <w:sz w:val="24"/>
          <w:szCs w:val="24"/>
        </w:rPr>
        <w:t xml:space="preserve"> thus sustained.</w:t>
      </w:r>
      <w:r w:rsidR="00B2000D" w:rsidRPr="00C3108D">
        <w:rPr>
          <w:sz w:val="24"/>
          <w:szCs w:val="24"/>
        </w:rPr>
        <w:t xml:space="preserve"> </w:t>
      </w:r>
    </w:p>
    <w:p w14:paraId="1418FB04" w14:textId="77777777" w:rsidR="002F7B98" w:rsidRDefault="00C9098E" w:rsidP="00723EAC">
      <w:pPr>
        <w:jc w:val="both"/>
        <w:rPr>
          <w:sz w:val="24"/>
          <w:szCs w:val="24"/>
        </w:rPr>
      </w:pPr>
      <w:r w:rsidRPr="009B12D9">
        <w:rPr>
          <w:sz w:val="24"/>
          <w:szCs w:val="24"/>
        </w:rPr>
        <w:t>Standards</w:t>
      </w:r>
      <w:r w:rsidRPr="00C3108D">
        <w:rPr>
          <w:sz w:val="24"/>
          <w:szCs w:val="24"/>
        </w:rPr>
        <w:t xml:space="preserve"> need to be agreed so that digitised content (tangible and intangible) and the related metadata becomes </w:t>
      </w:r>
      <w:r w:rsidR="00934D45">
        <w:rPr>
          <w:sz w:val="24"/>
          <w:szCs w:val="24"/>
        </w:rPr>
        <w:t xml:space="preserve">seamlessly </w:t>
      </w:r>
      <w:r w:rsidRPr="00C3108D">
        <w:rPr>
          <w:sz w:val="24"/>
          <w:szCs w:val="24"/>
        </w:rPr>
        <w:t>accessible in the long term to a</w:t>
      </w:r>
      <w:r w:rsidR="009B12D9">
        <w:rPr>
          <w:sz w:val="24"/>
          <w:szCs w:val="24"/>
        </w:rPr>
        <w:t>l</w:t>
      </w:r>
      <w:r w:rsidRPr="00C3108D">
        <w:rPr>
          <w:sz w:val="24"/>
          <w:szCs w:val="24"/>
        </w:rPr>
        <w:t>l</w:t>
      </w:r>
      <w:r w:rsidR="00934D45">
        <w:rPr>
          <w:sz w:val="24"/>
          <w:szCs w:val="24"/>
        </w:rPr>
        <w:t>.</w:t>
      </w:r>
      <w:r w:rsidRPr="00C3108D">
        <w:rPr>
          <w:sz w:val="24"/>
          <w:szCs w:val="24"/>
        </w:rPr>
        <w:t xml:space="preserve"> Metadata may include access to complementary material such as images, books, descriptions and drawings, illustrating the cultural and historic significance of the sites</w:t>
      </w:r>
      <w:r w:rsidR="00934D45">
        <w:rPr>
          <w:sz w:val="24"/>
          <w:szCs w:val="24"/>
        </w:rPr>
        <w:t xml:space="preserve"> or </w:t>
      </w:r>
      <w:r w:rsidRPr="00C3108D">
        <w:rPr>
          <w:sz w:val="24"/>
          <w:szCs w:val="24"/>
        </w:rPr>
        <w:t xml:space="preserve">artefacts. </w:t>
      </w:r>
    </w:p>
    <w:bookmarkEnd w:id="30"/>
    <w:p w14:paraId="6FF6CFA4" w14:textId="6D84D6DC" w:rsidR="00C9098E" w:rsidRPr="00C3108D" w:rsidRDefault="002F7B98" w:rsidP="00723EAC">
      <w:pPr>
        <w:jc w:val="both"/>
        <w:rPr>
          <w:sz w:val="24"/>
          <w:szCs w:val="24"/>
        </w:rPr>
      </w:pPr>
      <w:r w:rsidRPr="002F7B98">
        <w:rPr>
          <w:sz w:val="24"/>
          <w:szCs w:val="24"/>
        </w:rPr>
        <w:t>A framework of ‘virtual values’ is needed to underpin DCH strategies and development, and to provide museum-staff with a comprehensible direction for the museum’s approach to virtual and augmented content. The Virtual Values identified by ViMM include: “Virtual for all” Rule; Layered Content; Accessibility, Sustainability, Complementarity and Digital Privacy</w:t>
      </w:r>
    </w:p>
    <w:p w14:paraId="5C0B786F" w14:textId="690D7C3F" w:rsidR="00CD78EA" w:rsidRPr="00D95E08" w:rsidRDefault="006D3148" w:rsidP="00723EAC">
      <w:pPr>
        <w:pStyle w:val="Heading1"/>
        <w:numPr>
          <w:ilvl w:val="0"/>
          <w:numId w:val="36"/>
        </w:numPr>
        <w:jc w:val="both"/>
      </w:pPr>
      <w:bookmarkStart w:id="31" w:name="_Toc512355159"/>
      <w:bookmarkStart w:id="32" w:name="_Hlk515273977"/>
      <w:r>
        <w:t>Driving or</w:t>
      </w:r>
      <w:r w:rsidR="0070743A" w:rsidRPr="00D95E08">
        <w:t>gani</w:t>
      </w:r>
      <w:r w:rsidR="00CD78EA" w:rsidRPr="00D95E08">
        <w:t>s</w:t>
      </w:r>
      <w:r w:rsidR="0070743A" w:rsidRPr="00D95E08">
        <w:t>ational change</w:t>
      </w:r>
      <w:r w:rsidR="00076EF2" w:rsidRPr="00D95E08">
        <w:t xml:space="preserve"> </w:t>
      </w:r>
      <w:bookmarkEnd w:id="31"/>
    </w:p>
    <w:bookmarkEnd w:id="32"/>
    <w:p w14:paraId="738A31EF" w14:textId="01EC81C7" w:rsidR="00934D45" w:rsidRDefault="00934D45" w:rsidP="00723EAC">
      <w:pPr>
        <w:jc w:val="both"/>
        <w:rPr>
          <w:sz w:val="24"/>
          <w:szCs w:val="24"/>
        </w:rPr>
      </w:pPr>
      <w:r w:rsidRPr="00934D45">
        <w:rPr>
          <w:sz w:val="24"/>
          <w:szCs w:val="24"/>
        </w:rPr>
        <w:t xml:space="preserve">Managements </w:t>
      </w:r>
      <w:r>
        <w:rPr>
          <w:sz w:val="24"/>
          <w:szCs w:val="24"/>
        </w:rPr>
        <w:t xml:space="preserve">of Cultural Heritage institutions </w:t>
      </w:r>
      <w:r w:rsidRPr="00934D45">
        <w:rPr>
          <w:sz w:val="24"/>
          <w:szCs w:val="24"/>
        </w:rPr>
        <w:t>should prioriti</w:t>
      </w:r>
      <w:r>
        <w:rPr>
          <w:sz w:val="24"/>
          <w:szCs w:val="24"/>
        </w:rPr>
        <w:t>s</w:t>
      </w:r>
      <w:r w:rsidRPr="00934D45">
        <w:rPr>
          <w:sz w:val="24"/>
          <w:szCs w:val="24"/>
        </w:rPr>
        <w:t>e digital transformation and lead organisational change, cooperat</w:t>
      </w:r>
      <w:r>
        <w:rPr>
          <w:sz w:val="24"/>
          <w:szCs w:val="24"/>
        </w:rPr>
        <w:t>ing</w:t>
      </w:r>
      <w:r w:rsidRPr="00934D45">
        <w:rPr>
          <w:sz w:val="24"/>
          <w:szCs w:val="24"/>
        </w:rPr>
        <w:t xml:space="preserve"> in a shared digitisation process within a common general strategy which </w:t>
      </w:r>
      <w:r w:rsidR="00012127" w:rsidRPr="00934D45">
        <w:rPr>
          <w:sz w:val="24"/>
          <w:szCs w:val="24"/>
        </w:rPr>
        <w:t>tackles interoperability</w:t>
      </w:r>
      <w:r w:rsidRPr="00934D45">
        <w:rPr>
          <w:sz w:val="24"/>
          <w:szCs w:val="24"/>
        </w:rPr>
        <w:t xml:space="preserve"> problems, creates "economies of scale</w:t>
      </w:r>
      <w:r w:rsidR="00012127" w:rsidRPr="00934D45">
        <w:rPr>
          <w:sz w:val="24"/>
          <w:szCs w:val="24"/>
        </w:rPr>
        <w:t>”, workable</w:t>
      </w:r>
      <w:r w:rsidRPr="00934D45">
        <w:rPr>
          <w:sz w:val="24"/>
          <w:szCs w:val="24"/>
        </w:rPr>
        <w:t xml:space="preserve"> frameworks </w:t>
      </w:r>
      <w:r w:rsidR="00012127" w:rsidRPr="00934D45">
        <w:rPr>
          <w:sz w:val="24"/>
          <w:szCs w:val="24"/>
        </w:rPr>
        <w:t>for rights</w:t>
      </w:r>
      <w:r w:rsidRPr="00934D45">
        <w:rPr>
          <w:sz w:val="24"/>
          <w:szCs w:val="24"/>
        </w:rPr>
        <w:t xml:space="preserve"> and strengthens the ability of museums to support new technology.</w:t>
      </w:r>
    </w:p>
    <w:p w14:paraId="5A0392DE" w14:textId="1D63B44B" w:rsidR="00012127" w:rsidRDefault="00012127" w:rsidP="00723EAC">
      <w:pPr>
        <w:jc w:val="both"/>
        <w:rPr>
          <w:sz w:val="24"/>
          <w:szCs w:val="24"/>
        </w:rPr>
      </w:pPr>
      <w:r w:rsidRPr="00012127">
        <w:rPr>
          <w:sz w:val="24"/>
          <w:szCs w:val="24"/>
        </w:rPr>
        <w:t>The vision for technology take-up should be mapped to the museum’s mission so as not to miss out on opportunities, entailing a regular assessment of organisational ‘readiness’ for DCH.</w:t>
      </w:r>
    </w:p>
    <w:p w14:paraId="15086163" w14:textId="54268AB1" w:rsidR="00012127" w:rsidRDefault="00012127" w:rsidP="00723EAC">
      <w:pPr>
        <w:jc w:val="both"/>
        <w:rPr>
          <w:sz w:val="24"/>
          <w:szCs w:val="24"/>
        </w:rPr>
      </w:pPr>
      <w:r w:rsidRPr="00012127">
        <w:rPr>
          <w:sz w:val="24"/>
          <w:szCs w:val="24"/>
        </w:rPr>
        <w:t>In order to improve efficiency and effectiveness of the use of resources, impact assessment studies, based on mature and standardised processes and tools, are needed as a fundamental commitment of CH institutions and as part of projects funded and/or carried out by public and private institutions.</w:t>
      </w:r>
    </w:p>
    <w:p w14:paraId="58A5F8C3" w14:textId="772B5B6E" w:rsidR="00E77EF4" w:rsidRDefault="00CD78EA" w:rsidP="00723EAC">
      <w:pPr>
        <w:jc w:val="both"/>
        <w:rPr>
          <w:sz w:val="24"/>
          <w:szCs w:val="24"/>
        </w:rPr>
      </w:pPr>
      <w:bookmarkStart w:id="33" w:name="_Hlk515277603"/>
      <w:r w:rsidRPr="00C3108D">
        <w:rPr>
          <w:sz w:val="24"/>
          <w:szCs w:val="24"/>
        </w:rPr>
        <w:t>Cultural Heritage i</w:t>
      </w:r>
      <w:r w:rsidR="0070743A" w:rsidRPr="00C3108D">
        <w:rPr>
          <w:sz w:val="24"/>
          <w:szCs w:val="24"/>
        </w:rPr>
        <w:t xml:space="preserve">nstitutions are not working in a vacuum </w:t>
      </w:r>
      <w:r w:rsidR="00934D45">
        <w:rPr>
          <w:sz w:val="24"/>
          <w:szCs w:val="24"/>
        </w:rPr>
        <w:t>and</w:t>
      </w:r>
      <w:r w:rsidR="0070743A" w:rsidRPr="00C3108D">
        <w:rPr>
          <w:sz w:val="24"/>
          <w:szCs w:val="24"/>
        </w:rPr>
        <w:t xml:space="preserve"> should ensure openness to the outside world. For them to be able to make the most of new technology there needs to be organisational change. It is important for museums to develop </w:t>
      </w:r>
      <w:r w:rsidR="00124DC1">
        <w:rPr>
          <w:sz w:val="24"/>
          <w:szCs w:val="24"/>
        </w:rPr>
        <w:t xml:space="preserve">participatory technology </w:t>
      </w:r>
      <w:r w:rsidR="0070743A" w:rsidRPr="00C3108D">
        <w:rPr>
          <w:sz w:val="24"/>
          <w:szCs w:val="24"/>
        </w:rPr>
        <w:t>strateg</w:t>
      </w:r>
      <w:r w:rsidR="00934D45">
        <w:rPr>
          <w:sz w:val="24"/>
          <w:szCs w:val="24"/>
        </w:rPr>
        <w:t>ies</w:t>
      </w:r>
      <w:r w:rsidR="0070743A" w:rsidRPr="00C3108D">
        <w:rPr>
          <w:sz w:val="24"/>
          <w:szCs w:val="24"/>
        </w:rPr>
        <w:t xml:space="preserve"> and </w:t>
      </w:r>
      <w:r w:rsidR="00934D45">
        <w:rPr>
          <w:sz w:val="24"/>
          <w:szCs w:val="24"/>
        </w:rPr>
        <w:t xml:space="preserve">to </w:t>
      </w:r>
      <w:r w:rsidR="0070743A" w:rsidRPr="00C3108D">
        <w:rPr>
          <w:sz w:val="24"/>
          <w:szCs w:val="24"/>
        </w:rPr>
        <w:t xml:space="preserve">invest the needed resources in hardware and software solutions as well as training and support. </w:t>
      </w:r>
      <w:r w:rsidR="001A6F8D" w:rsidRPr="00C3108D">
        <w:rPr>
          <w:sz w:val="24"/>
          <w:szCs w:val="24"/>
        </w:rPr>
        <w:t>A</w:t>
      </w:r>
      <w:r w:rsidR="0070743A" w:rsidRPr="00C3108D">
        <w:rPr>
          <w:sz w:val="24"/>
          <w:szCs w:val="24"/>
        </w:rPr>
        <w:t>ccessibility, sustainability and interoperability should be prioritised</w:t>
      </w:r>
      <w:bookmarkEnd w:id="33"/>
      <w:r w:rsidR="0070743A" w:rsidRPr="00C3108D">
        <w:rPr>
          <w:sz w:val="24"/>
          <w:szCs w:val="24"/>
        </w:rPr>
        <w:t xml:space="preserve">. </w:t>
      </w:r>
    </w:p>
    <w:p w14:paraId="7C599157" w14:textId="6CAE5538" w:rsidR="007424E6" w:rsidRPr="00D95E08" w:rsidRDefault="00A13363" w:rsidP="00723EAC">
      <w:pPr>
        <w:pStyle w:val="Heading1"/>
        <w:jc w:val="both"/>
      </w:pPr>
      <w:bookmarkStart w:id="34" w:name="_Toc512355160"/>
      <w:bookmarkStart w:id="35" w:name="_Hlk515274120"/>
      <w:r>
        <w:t xml:space="preserve">10. </w:t>
      </w:r>
      <w:r w:rsidR="006D3148">
        <w:t xml:space="preserve">The </w:t>
      </w:r>
      <w:r w:rsidR="007424E6" w:rsidRPr="00D95E08">
        <w:t>Human Resource</w:t>
      </w:r>
      <w:r w:rsidR="006D3148">
        <w:t>s</w:t>
      </w:r>
      <w:bookmarkEnd w:id="34"/>
      <w:r w:rsidR="007424E6" w:rsidRPr="00D95E08">
        <w:t xml:space="preserve"> </w:t>
      </w:r>
    </w:p>
    <w:bookmarkEnd w:id="35"/>
    <w:p w14:paraId="65E69FDD" w14:textId="080DFAF8" w:rsidR="00ED0504" w:rsidRDefault="00BB6661" w:rsidP="00723EAC">
      <w:pPr>
        <w:jc w:val="both"/>
        <w:rPr>
          <w:sz w:val="24"/>
          <w:szCs w:val="24"/>
        </w:rPr>
      </w:pPr>
      <w:r w:rsidRPr="00BB6661">
        <w:rPr>
          <w:sz w:val="24"/>
          <w:szCs w:val="24"/>
        </w:rPr>
        <w:t>Innovation in education and training for DCH will enhance awareness of and openness to digital initiatives.</w:t>
      </w:r>
      <w:r w:rsidR="00ED0504" w:rsidRPr="00C3108D">
        <w:rPr>
          <w:sz w:val="24"/>
          <w:szCs w:val="24"/>
        </w:rPr>
        <w:t xml:space="preserve"> </w:t>
      </w:r>
      <w:r w:rsidR="007424E6" w:rsidRPr="00C3108D">
        <w:rPr>
          <w:sz w:val="24"/>
          <w:szCs w:val="24"/>
        </w:rPr>
        <w:t>Po</w:t>
      </w:r>
      <w:r w:rsidR="00ED0504" w:rsidRPr="00C3108D">
        <w:rPr>
          <w:sz w:val="24"/>
          <w:szCs w:val="24"/>
        </w:rPr>
        <w:t>licies should address systematic involvement and training of teachers, curators, administration and governance staff</w:t>
      </w:r>
      <w:r>
        <w:rPr>
          <w:sz w:val="24"/>
          <w:szCs w:val="24"/>
        </w:rPr>
        <w:t>, using</w:t>
      </w:r>
      <w:r w:rsidR="00ED0504" w:rsidRPr="00C3108D">
        <w:rPr>
          <w:sz w:val="24"/>
          <w:szCs w:val="24"/>
        </w:rPr>
        <w:t xml:space="preserve"> methodologies </w:t>
      </w:r>
      <w:r>
        <w:rPr>
          <w:sz w:val="24"/>
          <w:szCs w:val="24"/>
        </w:rPr>
        <w:t>that</w:t>
      </w:r>
      <w:r w:rsidR="00ED0504" w:rsidRPr="00C3108D">
        <w:rPr>
          <w:sz w:val="24"/>
          <w:szCs w:val="24"/>
        </w:rPr>
        <w:t xml:space="preserve"> promote understanding of different media paradigms</w:t>
      </w:r>
      <w:r>
        <w:rPr>
          <w:sz w:val="24"/>
          <w:szCs w:val="24"/>
        </w:rPr>
        <w:t>.</w:t>
      </w:r>
      <w:r w:rsidR="00ED0504" w:rsidRPr="00C3108D">
        <w:rPr>
          <w:sz w:val="24"/>
          <w:szCs w:val="24"/>
        </w:rPr>
        <w:t xml:space="preserve"> </w:t>
      </w:r>
    </w:p>
    <w:p w14:paraId="1B61A861" w14:textId="78B029FD" w:rsidR="00012127" w:rsidRDefault="00012127" w:rsidP="00723EAC">
      <w:pPr>
        <w:jc w:val="both"/>
        <w:rPr>
          <w:sz w:val="24"/>
          <w:szCs w:val="24"/>
        </w:rPr>
      </w:pPr>
      <w:bookmarkStart w:id="36" w:name="_Hlk515277656"/>
      <w:r w:rsidRPr="00012127">
        <w:rPr>
          <w:sz w:val="24"/>
          <w:szCs w:val="24"/>
        </w:rPr>
        <w:t xml:space="preserve">To assure the skills and capacities of the next generation of </w:t>
      </w:r>
      <w:r w:rsidR="00124DC1">
        <w:rPr>
          <w:sz w:val="24"/>
          <w:szCs w:val="24"/>
        </w:rPr>
        <w:t>(</w:t>
      </w:r>
      <w:r w:rsidRPr="00012127">
        <w:rPr>
          <w:sz w:val="24"/>
          <w:szCs w:val="24"/>
        </w:rPr>
        <w:t>digital</w:t>
      </w:r>
      <w:r w:rsidR="00124DC1">
        <w:rPr>
          <w:sz w:val="24"/>
          <w:szCs w:val="24"/>
        </w:rPr>
        <w:t>)</w:t>
      </w:r>
      <w:r w:rsidRPr="00012127">
        <w:rPr>
          <w:sz w:val="24"/>
          <w:szCs w:val="24"/>
        </w:rPr>
        <w:t xml:space="preserve"> curators and </w:t>
      </w:r>
      <w:r w:rsidR="00124DC1">
        <w:rPr>
          <w:sz w:val="24"/>
          <w:szCs w:val="24"/>
        </w:rPr>
        <w:t>(</w:t>
      </w:r>
      <w:r w:rsidRPr="00012127">
        <w:rPr>
          <w:sz w:val="24"/>
          <w:szCs w:val="24"/>
        </w:rPr>
        <w:t>virtual</w:t>
      </w:r>
      <w:r w:rsidR="00124DC1">
        <w:rPr>
          <w:sz w:val="24"/>
          <w:szCs w:val="24"/>
        </w:rPr>
        <w:t>)</w:t>
      </w:r>
      <w:r w:rsidRPr="00012127">
        <w:rPr>
          <w:sz w:val="24"/>
          <w:szCs w:val="24"/>
        </w:rPr>
        <w:t xml:space="preserve"> museologists, the question ‘who needs to be trained, for what purpose and at what level’ </w:t>
      </w:r>
      <w:r w:rsidRPr="00012127">
        <w:rPr>
          <w:sz w:val="24"/>
          <w:szCs w:val="24"/>
        </w:rPr>
        <w:lastRenderedPageBreak/>
        <w:t>should be directly addressed</w:t>
      </w:r>
      <w:r>
        <w:rPr>
          <w:sz w:val="24"/>
          <w:szCs w:val="24"/>
        </w:rPr>
        <w:t xml:space="preserve"> from a lifelong learning perspective</w:t>
      </w:r>
      <w:r w:rsidRPr="00012127">
        <w:rPr>
          <w:sz w:val="24"/>
          <w:szCs w:val="24"/>
        </w:rPr>
        <w:t>, taking into account secondary, undergraduate, postgraduate, professional and vocational training as well as the engagement of volunteers and the public community in general. Remote</w:t>
      </w:r>
      <w:r>
        <w:rPr>
          <w:sz w:val="24"/>
          <w:szCs w:val="24"/>
        </w:rPr>
        <w:t xml:space="preserve"> and e-</w:t>
      </w:r>
      <w:r w:rsidRPr="00012127">
        <w:rPr>
          <w:sz w:val="24"/>
          <w:szCs w:val="24"/>
        </w:rPr>
        <w:t xml:space="preserve">learning </w:t>
      </w:r>
      <w:r>
        <w:rPr>
          <w:sz w:val="24"/>
          <w:szCs w:val="24"/>
        </w:rPr>
        <w:t>can</w:t>
      </w:r>
      <w:r w:rsidRPr="00012127">
        <w:rPr>
          <w:sz w:val="24"/>
          <w:szCs w:val="24"/>
        </w:rPr>
        <w:t xml:space="preserve"> play an important role.</w:t>
      </w:r>
    </w:p>
    <w:p w14:paraId="3A4C1CB1" w14:textId="6403E26E" w:rsidR="00012127" w:rsidRPr="00C3108D" w:rsidRDefault="00012127" w:rsidP="00723EAC">
      <w:pPr>
        <w:jc w:val="both"/>
        <w:rPr>
          <w:sz w:val="24"/>
          <w:szCs w:val="24"/>
        </w:rPr>
      </w:pPr>
      <w:r w:rsidRPr="00012127">
        <w:rPr>
          <w:sz w:val="24"/>
          <w:szCs w:val="24"/>
        </w:rPr>
        <w:t>Training offers, accompanied by meaningful certification, should be stimulated</w:t>
      </w:r>
      <w:r w:rsidR="00E6097E">
        <w:rPr>
          <w:sz w:val="24"/>
          <w:szCs w:val="24"/>
        </w:rPr>
        <w:t xml:space="preserve">. These should be </w:t>
      </w:r>
      <w:r w:rsidRPr="00012127">
        <w:rPr>
          <w:sz w:val="24"/>
          <w:szCs w:val="24"/>
        </w:rPr>
        <w:t>addressed to the different target groups involved in Cultural Heritage and their position in the ‘digital workflow’, broken down into different steps or stages and distinguished between technology skills, curatorial issues and decision or policy making needs.</w:t>
      </w:r>
      <w:r w:rsidR="00E6097E">
        <w:rPr>
          <w:sz w:val="24"/>
          <w:szCs w:val="24"/>
        </w:rPr>
        <w:t xml:space="preserve"> Interdisciplinary approaches are necessary to address all the needs and skills required for DCH.</w:t>
      </w:r>
    </w:p>
    <w:bookmarkEnd w:id="36"/>
    <w:p w14:paraId="25D2C490" w14:textId="28EC1116" w:rsidR="00167B57" w:rsidRPr="00C3108D" w:rsidRDefault="00167B57" w:rsidP="00723EAC">
      <w:pPr>
        <w:jc w:val="both"/>
        <w:rPr>
          <w:sz w:val="24"/>
          <w:szCs w:val="24"/>
        </w:rPr>
      </w:pPr>
      <w:r w:rsidRPr="00C3108D">
        <w:rPr>
          <w:sz w:val="24"/>
          <w:szCs w:val="24"/>
        </w:rPr>
        <w:t>Anyo</w:t>
      </w:r>
      <w:r w:rsidR="009C50B5" w:rsidRPr="00C3108D">
        <w:rPr>
          <w:sz w:val="24"/>
          <w:szCs w:val="24"/>
        </w:rPr>
        <w:t>ne</w:t>
      </w:r>
      <w:r w:rsidRPr="00C3108D">
        <w:rPr>
          <w:sz w:val="24"/>
          <w:szCs w:val="24"/>
        </w:rPr>
        <w:t xml:space="preserve"> involved in handling, exploitation, research and valorisation should be aware of the usefulness of </w:t>
      </w:r>
      <w:r w:rsidR="007F5711">
        <w:rPr>
          <w:sz w:val="24"/>
          <w:szCs w:val="24"/>
        </w:rPr>
        <w:t>XR</w:t>
      </w:r>
      <w:r w:rsidRPr="00C3108D">
        <w:rPr>
          <w:sz w:val="24"/>
          <w:szCs w:val="24"/>
        </w:rPr>
        <w:t xml:space="preserve"> technology t</w:t>
      </w:r>
      <w:r w:rsidR="007424E6" w:rsidRPr="00C3108D">
        <w:rPr>
          <w:sz w:val="24"/>
          <w:szCs w:val="24"/>
        </w:rPr>
        <w:t>o</w:t>
      </w:r>
      <w:r w:rsidRPr="00C3108D">
        <w:rPr>
          <w:sz w:val="24"/>
          <w:szCs w:val="24"/>
        </w:rPr>
        <w:t xml:space="preserve"> support their processes, both internal and external. </w:t>
      </w:r>
      <w:r w:rsidR="007424E6" w:rsidRPr="00C3108D">
        <w:rPr>
          <w:sz w:val="24"/>
          <w:szCs w:val="24"/>
        </w:rPr>
        <w:t xml:space="preserve">This should form part of </w:t>
      </w:r>
      <w:r w:rsidRPr="00C3108D">
        <w:rPr>
          <w:sz w:val="24"/>
          <w:szCs w:val="24"/>
        </w:rPr>
        <w:t>educational curricul</w:t>
      </w:r>
      <w:r w:rsidR="007424E6" w:rsidRPr="00C3108D">
        <w:rPr>
          <w:sz w:val="24"/>
          <w:szCs w:val="24"/>
        </w:rPr>
        <w:t>a</w:t>
      </w:r>
      <w:r w:rsidRPr="00C3108D">
        <w:rPr>
          <w:sz w:val="24"/>
          <w:szCs w:val="24"/>
        </w:rPr>
        <w:t xml:space="preserve"> in C</w:t>
      </w:r>
      <w:r w:rsidR="007424E6" w:rsidRPr="00C3108D">
        <w:rPr>
          <w:sz w:val="24"/>
          <w:szCs w:val="24"/>
        </w:rPr>
        <w:t>ultural Heritage.</w:t>
      </w:r>
      <w:r w:rsidR="007F5711" w:rsidRPr="007F5711">
        <w:t xml:space="preserve"> </w:t>
      </w:r>
      <w:r w:rsidR="007F5711" w:rsidRPr="007F5711">
        <w:rPr>
          <w:sz w:val="24"/>
          <w:szCs w:val="24"/>
        </w:rPr>
        <w:t xml:space="preserve">Universities and schools conducting technical education should teach the relevance of cultural background information for the understanding of </w:t>
      </w:r>
      <w:r w:rsidR="00241E00">
        <w:rPr>
          <w:sz w:val="24"/>
          <w:szCs w:val="24"/>
        </w:rPr>
        <w:t>XR-representations of</w:t>
      </w:r>
      <w:r w:rsidR="00E6097E">
        <w:rPr>
          <w:sz w:val="24"/>
          <w:szCs w:val="24"/>
        </w:rPr>
        <w:t xml:space="preserve"> </w:t>
      </w:r>
      <w:r w:rsidR="007F5711" w:rsidRPr="007F5711">
        <w:rPr>
          <w:sz w:val="24"/>
          <w:szCs w:val="24"/>
        </w:rPr>
        <w:t>cultural heritage</w:t>
      </w:r>
      <w:r w:rsidR="00241E00">
        <w:rPr>
          <w:sz w:val="24"/>
          <w:szCs w:val="24"/>
        </w:rPr>
        <w:t xml:space="preserve"> objects</w:t>
      </w:r>
      <w:r w:rsidR="00E6097E">
        <w:rPr>
          <w:sz w:val="24"/>
          <w:szCs w:val="24"/>
        </w:rPr>
        <w:t>.</w:t>
      </w:r>
    </w:p>
    <w:p w14:paraId="58092984" w14:textId="0DE1A8EB" w:rsidR="00E663A1" w:rsidRDefault="00245CA0" w:rsidP="00723EAC">
      <w:pPr>
        <w:jc w:val="both"/>
      </w:pPr>
      <w:r w:rsidRPr="00245CA0">
        <w:rPr>
          <w:sz w:val="24"/>
          <w:szCs w:val="24"/>
        </w:rPr>
        <w:t>ViMM supports the recent recommendations of the Council of Europe Strategy 21</w:t>
      </w:r>
      <w:r w:rsidR="00012127">
        <w:rPr>
          <w:rStyle w:val="FootnoteReference"/>
          <w:sz w:val="24"/>
          <w:szCs w:val="24"/>
        </w:rPr>
        <w:footnoteReference w:id="8"/>
      </w:r>
      <w:r w:rsidRPr="00245CA0">
        <w:rPr>
          <w:sz w:val="24"/>
          <w:szCs w:val="24"/>
        </w:rPr>
        <w:t xml:space="preserve">   in the areas of Knowledge and Education for Cultural Heritage and proposes that the DCH sector recognises and develops them.</w:t>
      </w:r>
      <w:r w:rsidR="004603D7">
        <w:rPr>
          <w:sz w:val="24"/>
          <w:szCs w:val="24"/>
        </w:rPr>
        <w:t xml:space="preserve"> </w:t>
      </w:r>
    </w:p>
    <w:p w14:paraId="1F9B02CD" w14:textId="77777777" w:rsidR="004603D7" w:rsidRDefault="004603D7" w:rsidP="00723EAC">
      <w:pPr>
        <w:jc w:val="both"/>
        <w:rPr>
          <w:sz w:val="24"/>
          <w:szCs w:val="24"/>
        </w:rPr>
      </w:pPr>
    </w:p>
    <w:sectPr w:rsidR="004603D7" w:rsidSect="005F014E">
      <w:headerReference w:type="default" r:id="rId9"/>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AEEBA" w14:textId="77777777" w:rsidR="0007036D" w:rsidRDefault="0007036D" w:rsidP="00956497">
      <w:pPr>
        <w:spacing w:after="0" w:line="240" w:lineRule="auto"/>
      </w:pPr>
      <w:r>
        <w:separator/>
      </w:r>
    </w:p>
  </w:endnote>
  <w:endnote w:type="continuationSeparator" w:id="0">
    <w:p w14:paraId="180B0A76" w14:textId="77777777" w:rsidR="0007036D" w:rsidRDefault="0007036D" w:rsidP="0095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63168"/>
      <w:docPartObj>
        <w:docPartGallery w:val="Page Numbers (Bottom of Page)"/>
        <w:docPartUnique/>
      </w:docPartObj>
    </w:sdtPr>
    <w:sdtEndPr>
      <w:rPr>
        <w:noProof/>
      </w:rPr>
    </w:sdtEndPr>
    <w:sdtContent>
      <w:p w14:paraId="35866F49" w14:textId="11433745" w:rsidR="00A13363" w:rsidRDefault="00A13363">
        <w:pPr>
          <w:pStyle w:val="Footer"/>
          <w:jc w:val="center"/>
        </w:pPr>
        <w:r>
          <w:fldChar w:fldCharType="begin"/>
        </w:r>
        <w:r>
          <w:instrText xml:space="preserve"> PAGE   \* MERGEFORMAT </w:instrText>
        </w:r>
        <w:r>
          <w:fldChar w:fldCharType="separate"/>
        </w:r>
        <w:r w:rsidR="00FA2919">
          <w:rPr>
            <w:noProof/>
          </w:rPr>
          <w:t>8</w:t>
        </w:r>
        <w:r>
          <w:rPr>
            <w:noProof/>
          </w:rPr>
          <w:fldChar w:fldCharType="end"/>
        </w:r>
      </w:p>
    </w:sdtContent>
  </w:sdt>
  <w:p w14:paraId="16D09C53" w14:textId="64998AF2" w:rsidR="00A13363" w:rsidRDefault="00A13363" w:rsidP="00FA2919">
    <w:pPr>
      <w:pStyle w:val="Footer"/>
      <w:jc w:val="center"/>
    </w:pPr>
    <w:proofErr w:type="spellStart"/>
    <w:r>
      <w:t>ViMM</w:t>
    </w:r>
    <w:proofErr w:type="spellEnd"/>
    <w:r>
      <w:t xml:space="preserve"> draft </w:t>
    </w:r>
    <w:r w:rsidR="00BB6661">
      <w:t>Manifesto v</w:t>
    </w:r>
    <w:r w:rsidR="003B5EA6">
      <w:t>2</w:t>
    </w:r>
    <w:r w:rsidR="00BB6661">
      <w:t xml:space="preserve">.0 </w:t>
    </w:r>
    <w:r w:rsidR="008D00CE">
      <w:t>- 2/6/2018</w:t>
    </w:r>
    <w:r>
      <w:t xml:space="preserve"> </w:t>
    </w:r>
    <w:r w:rsidR="00322F94">
      <w:t xml:space="preserve">– </w:t>
    </w:r>
    <w:r w:rsidR="00322F94" w:rsidRPr="00FA2919">
      <w:rPr>
        <w:b/>
        <w:smallCaps/>
        <w:u w:val="single"/>
      </w:rPr>
      <w:t>confidential</w:t>
    </w:r>
    <w:r w:rsidR="00322F94">
      <w:t xml:space="preserve"> – Project’s platform: </w:t>
    </w:r>
    <w:hyperlink r:id="rId1" w:history="1">
      <w:r w:rsidR="00322F94" w:rsidRPr="00C86873">
        <w:rPr>
          <w:rStyle w:val="Hyperlink"/>
        </w:rPr>
        <w:t>www.vi-mm.eu</w:t>
      </w:r>
    </w:hyperlink>
  </w:p>
  <w:p w14:paraId="647ED839" w14:textId="1770428D" w:rsidR="00322F94" w:rsidRPr="00322F94" w:rsidRDefault="00322F94">
    <w:pPr>
      <w:pStyle w:val="Footer"/>
      <w:rPr>
        <w:i/>
        <w:sz w:val="16"/>
        <w:szCs w:val="16"/>
      </w:rPr>
    </w:pPr>
    <w:r w:rsidRPr="00322F94">
      <w:rPr>
        <w:i/>
        <w:sz w:val="16"/>
        <w:szCs w:val="16"/>
      </w:rPr>
      <w:t xml:space="preserve">The </w:t>
    </w:r>
    <w:proofErr w:type="spellStart"/>
    <w:r w:rsidRPr="00322F94">
      <w:rPr>
        <w:i/>
        <w:sz w:val="16"/>
        <w:szCs w:val="16"/>
      </w:rPr>
      <w:t>ViMM</w:t>
    </w:r>
    <w:proofErr w:type="spellEnd"/>
    <w:r w:rsidRPr="00322F94">
      <w:rPr>
        <w:i/>
        <w:sz w:val="16"/>
        <w:szCs w:val="16"/>
      </w:rPr>
      <w:t xml:space="preserve"> project has received funding from the European Union’s Horizon 2020 Programme as Coordination and Support Action, under GA n° 727107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751E" w14:textId="77777777" w:rsidR="0007036D" w:rsidRDefault="0007036D" w:rsidP="00956497">
      <w:pPr>
        <w:spacing w:after="0" w:line="240" w:lineRule="auto"/>
      </w:pPr>
      <w:r>
        <w:separator/>
      </w:r>
    </w:p>
  </w:footnote>
  <w:footnote w:type="continuationSeparator" w:id="0">
    <w:p w14:paraId="0E1BEFE9" w14:textId="77777777" w:rsidR="0007036D" w:rsidRDefault="0007036D" w:rsidP="00956497">
      <w:pPr>
        <w:spacing w:after="0" w:line="240" w:lineRule="auto"/>
      </w:pPr>
      <w:r>
        <w:continuationSeparator/>
      </w:r>
    </w:p>
  </w:footnote>
  <w:footnote w:id="1">
    <w:p w14:paraId="7719BDB0" w14:textId="0E69F806" w:rsidR="00767BE7" w:rsidRDefault="00767BE7">
      <w:pPr>
        <w:pStyle w:val="FootnoteText"/>
      </w:pPr>
      <w:r>
        <w:rPr>
          <w:rStyle w:val="FootnoteReference"/>
        </w:rPr>
        <w:footnoteRef/>
      </w:r>
      <w:r>
        <w:t xml:space="preserve"> </w:t>
      </w:r>
      <w:hyperlink r:id="rId1" w:history="1">
        <w:r w:rsidRPr="00E45D40">
          <w:rPr>
            <w:rStyle w:val="Hyperlink"/>
          </w:rPr>
          <w:t>https://ec.europa.eu/assets/jrc/events/20131024-cci/20131024-cci-sacco.pdf</w:t>
        </w:r>
      </w:hyperlink>
    </w:p>
  </w:footnote>
  <w:footnote w:id="2">
    <w:p w14:paraId="1AE2A69B" w14:textId="33E477A3" w:rsidR="002C7329" w:rsidRDefault="0064772D">
      <w:pPr>
        <w:pStyle w:val="FootnoteText"/>
      </w:pPr>
      <w:r>
        <w:rPr>
          <w:rStyle w:val="FootnoteReference"/>
        </w:rPr>
        <w:footnoteRef/>
      </w:r>
      <w:r>
        <w:t xml:space="preserve"> </w:t>
      </w:r>
      <w:hyperlink r:id="rId2" w:history="1">
        <w:r w:rsidR="002C7329" w:rsidRPr="00955099">
          <w:rPr>
            <w:rStyle w:val="Hyperlink"/>
          </w:rPr>
          <w:t>http://icom.museum/the-vision/strategic-plan/</w:t>
        </w:r>
      </w:hyperlink>
    </w:p>
  </w:footnote>
  <w:footnote w:id="3">
    <w:p w14:paraId="5AB7A34A" w14:textId="47E88AE1" w:rsidR="002C7329" w:rsidRDefault="0064772D">
      <w:pPr>
        <w:pStyle w:val="FootnoteText"/>
      </w:pPr>
      <w:r>
        <w:rPr>
          <w:rStyle w:val="FootnoteReference"/>
        </w:rPr>
        <w:footnoteRef/>
      </w:r>
      <w:r>
        <w:t xml:space="preserve"> </w:t>
      </w:r>
      <w:r w:rsidR="002C7329">
        <w:t xml:space="preserve"> </w:t>
      </w:r>
      <w:hyperlink r:id="rId3" w:history="1">
        <w:r w:rsidR="002C7329" w:rsidRPr="002C7329">
          <w:rPr>
            <w:rStyle w:val="Hyperlink"/>
          </w:rPr>
          <w:t>https://www.icomos.org/en/newsletters-archives/116-english-categories/resources/publications/258-monumentsasites-xii</w:t>
        </w:r>
      </w:hyperlink>
    </w:p>
  </w:footnote>
  <w:footnote w:id="4">
    <w:p w14:paraId="3C2CB012" w14:textId="72ADC30F" w:rsidR="0064772D" w:rsidRDefault="0064772D">
      <w:pPr>
        <w:pStyle w:val="FootnoteText"/>
      </w:pPr>
      <w:r>
        <w:rPr>
          <w:rStyle w:val="FootnoteReference"/>
        </w:rPr>
        <w:footnoteRef/>
      </w:r>
      <w:r>
        <w:t xml:space="preserve"> </w:t>
      </w:r>
      <w:r w:rsidR="002C7329">
        <w:t xml:space="preserve">     </w:t>
      </w:r>
      <w:hyperlink r:id="rId4" w:history="1">
        <w:r w:rsidR="002C7329" w:rsidRPr="002C7329">
          <w:rPr>
            <w:rStyle w:val="Hyperlink"/>
          </w:rPr>
          <w:t>https://www.google.com.cy/search?q=future+action+plan+nemo&amp;oq=future+action+plan+nemo&amp;aqs=chrome..69i57.6382j0j4&amp;sourceid=chrome&amp;ie=UTF-8</w:t>
        </w:r>
      </w:hyperlink>
    </w:p>
    <w:p w14:paraId="02C3427C" w14:textId="77777777" w:rsidR="002C7329" w:rsidRDefault="002C7329">
      <w:pPr>
        <w:pStyle w:val="FootnoteText"/>
      </w:pPr>
    </w:p>
  </w:footnote>
  <w:footnote w:id="5">
    <w:p w14:paraId="3C6C1D20" w14:textId="540DB3EF" w:rsidR="002C7329" w:rsidRDefault="0064772D">
      <w:pPr>
        <w:pStyle w:val="FootnoteText"/>
      </w:pPr>
      <w:r>
        <w:rPr>
          <w:rStyle w:val="FootnoteReference"/>
        </w:rPr>
        <w:footnoteRef/>
      </w:r>
      <w:r>
        <w:t xml:space="preserve"> </w:t>
      </w:r>
      <w:hyperlink r:id="rId5" w:history="1">
        <w:r w:rsidR="002C7329" w:rsidRPr="00955099">
          <w:rPr>
            <w:rStyle w:val="Hyperlink"/>
          </w:rPr>
          <w:t>https://en.unesco.org/system/files/private_documents/strategy_comprehensive_en_0.pdf</w:t>
        </w:r>
      </w:hyperlink>
    </w:p>
  </w:footnote>
  <w:footnote w:id="6">
    <w:p w14:paraId="5D8E3D37" w14:textId="2C12C9AC" w:rsidR="002C7329" w:rsidRDefault="0064772D">
      <w:pPr>
        <w:pStyle w:val="FootnoteText"/>
      </w:pPr>
      <w:r>
        <w:rPr>
          <w:rStyle w:val="FootnoteReference"/>
        </w:rPr>
        <w:footnoteRef/>
      </w:r>
      <w:r>
        <w:t xml:space="preserve"> </w:t>
      </w:r>
      <w:hyperlink r:id="rId6" w:history="1">
        <w:r w:rsidR="002C7329" w:rsidRPr="00955099">
          <w:rPr>
            <w:rStyle w:val="Hyperlink"/>
          </w:rPr>
          <w:t>http://strategy2020.europeana.eu/update/</w:t>
        </w:r>
      </w:hyperlink>
    </w:p>
  </w:footnote>
  <w:footnote w:id="7">
    <w:p w14:paraId="492F5C22" w14:textId="77777777" w:rsidR="00A13363" w:rsidRDefault="00A13363" w:rsidP="00F66787">
      <w:pPr>
        <w:pStyle w:val="FootnoteText"/>
      </w:pPr>
      <w:r>
        <w:rPr>
          <w:rStyle w:val="FootnoteReference"/>
        </w:rPr>
        <w:footnoteRef/>
      </w:r>
      <w:r>
        <w:t xml:space="preserve"> </w:t>
      </w:r>
      <w:bookmarkStart w:id="12" w:name="_Hlk512951068"/>
      <w:r>
        <w:t>XR is used by ViMM as a current way to express</w:t>
      </w:r>
      <w:r w:rsidRPr="009C50B5">
        <w:t xml:space="preserve"> all real-and-virtual combined environments and human-machine interactions generated by computer technology and wearables</w:t>
      </w:r>
      <w:r>
        <w:t xml:space="preserve"> i.e.  the ‘reality continuum’ encompassed by virtual reality (VR), augmented reality (AR) and mixed reality (MR). </w:t>
      </w:r>
    </w:p>
    <w:bookmarkEnd w:id="12"/>
  </w:footnote>
  <w:footnote w:id="8">
    <w:p w14:paraId="735D6975" w14:textId="5DF56BA4" w:rsidR="00012127" w:rsidRDefault="00012127">
      <w:pPr>
        <w:pStyle w:val="FootnoteText"/>
      </w:pPr>
      <w:r>
        <w:rPr>
          <w:rStyle w:val="FootnoteReference"/>
        </w:rPr>
        <w:footnoteRef/>
      </w:r>
      <w:r>
        <w:t xml:space="preserve"> </w:t>
      </w:r>
      <w:hyperlink r:id="rId7" w:history="1">
        <w:r w:rsidRPr="00E45D40">
          <w:rPr>
            <w:rStyle w:val="Hyperlink"/>
          </w:rPr>
          <w:t>https://www.coe.int/en/web/culture-and-heritage/strategy-21-k</w:t>
        </w:r>
      </w:hyperlink>
    </w:p>
    <w:p w14:paraId="3AF6CB5C" w14:textId="77777777" w:rsidR="00012127" w:rsidRDefault="0001212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9457" w14:textId="6088C3AC" w:rsidR="00723EAC" w:rsidRDefault="00723EAC">
    <w:pPr>
      <w:pStyle w:val="Header"/>
    </w:pPr>
    <w:r w:rsidRPr="00715730">
      <w:rPr>
        <w:noProof/>
        <w:lang w:val="en-US"/>
      </w:rPr>
      <w:drawing>
        <wp:anchor distT="0" distB="0" distL="114300" distR="114300" simplePos="0" relativeHeight="251663360" behindDoc="1" locked="0" layoutInCell="1" allowOverlap="1" wp14:anchorId="3E704083" wp14:editId="15031E3E">
          <wp:simplePos x="0" y="0"/>
          <wp:positionH relativeFrom="column">
            <wp:posOffset>3670300</wp:posOffset>
          </wp:positionH>
          <wp:positionV relativeFrom="paragraph">
            <wp:posOffset>-268605</wp:posOffset>
          </wp:positionV>
          <wp:extent cx="1518285" cy="590550"/>
          <wp:effectExtent l="0" t="0" r="5715" b="0"/>
          <wp:wrapTight wrapText="bothSides">
            <wp:wrapPolygon edited="0">
              <wp:start x="0" y="0"/>
              <wp:lineTo x="0" y="20903"/>
              <wp:lineTo x="21410" y="20903"/>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jpg"/>
                  <pic:cNvPicPr/>
                </pic:nvPicPr>
                <pic:blipFill>
                  <a:blip r:embed="rId1">
                    <a:extLst>
                      <a:ext uri="{28A0092B-C50C-407E-A947-70E740481C1C}">
                        <a14:useLocalDpi xmlns:a14="http://schemas.microsoft.com/office/drawing/2010/main" val="0"/>
                      </a:ext>
                    </a:extLst>
                  </a:blip>
                  <a:stretch>
                    <a:fillRect/>
                  </a:stretch>
                </pic:blipFill>
                <pic:spPr>
                  <a:xfrm>
                    <a:off x="0" y="0"/>
                    <a:ext cx="1518285" cy="5905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696C496D" wp14:editId="03655756">
          <wp:simplePos x="0" y="0"/>
          <wp:positionH relativeFrom="column">
            <wp:posOffset>2190750</wp:posOffset>
          </wp:positionH>
          <wp:positionV relativeFrom="paragraph">
            <wp:posOffset>-198755</wp:posOffset>
          </wp:positionV>
          <wp:extent cx="972185" cy="571500"/>
          <wp:effectExtent l="0" t="0" r="0" b="0"/>
          <wp:wrapSquare wrapText="bothSides"/>
          <wp:docPr id="4" name="Picture 4" desc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730">
      <w:rPr>
        <w:noProof/>
        <w:lang w:val="en-US"/>
      </w:rPr>
      <w:drawing>
        <wp:anchor distT="0" distB="0" distL="114300" distR="114300" simplePos="0" relativeHeight="251659264" behindDoc="1" locked="0" layoutInCell="1" allowOverlap="1" wp14:anchorId="79FEEF72" wp14:editId="5F8EFAD4">
          <wp:simplePos x="0" y="0"/>
          <wp:positionH relativeFrom="margin">
            <wp:posOffset>12700</wp:posOffset>
          </wp:positionH>
          <wp:positionV relativeFrom="paragraph">
            <wp:posOffset>-195580</wp:posOffset>
          </wp:positionV>
          <wp:extent cx="1901825" cy="46672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M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1825" cy="466725"/>
                  </a:xfrm>
                  <a:prstGeom prst="rect">
                    <a:avLst/>
                  </a:prstGeom>
                </pic:spPr>
              </pic:pic>
            </a:graphicData>
          </a:graphic>
          <wp14:sizeRelH relativeFrom="page">
            <wp14:pctWidth>0</wp14:pctWidth>
          </wp14:sizeRelH>
          <wp14:sizeRelV relativeFrom="page">
            <wp14:pctHeight>0</wp14:pctHeight>
          </wp14:sizeRelV>
        </wp:anchor>
      </w:drawing>
    </w:r>
  </w:p>
  <w:p w14:paraId="26199168" w14:textId="77777777" w:rsidR="00723EAC" w:rsidRDefault="00723EAC">
    <w:pPr>
      <w:pStyle w:val="Header"/>
    </w:pPr>
  </w:p>
  <w:p w14:paraId="345187E6" w14:textId="26247AD3" w:rsidR="00A13363" w:rsidRDefault="00A13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E4B"/>
    <w:multiLevelType w:val="hybridMultilevel"/>
    <w:tmpl w:val="ACD86B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A2688"/>
    <w:multiLevelType w:val="hybridMultilevel"/>
    <w:tmpl w:val="E1B21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37AC2"/>
    <w:multiLevelType w:val="hybridMultilevel"/>
    <w:tmpl w:val="583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D7046"/>
    <w:multiLevelType w:val="hybridMultilevel"/>
    <w:tmpl w:val="B6BE48D4"/>
    <w:lvl w:ilvl="0" w:tplc="08090011">
      <w:start w:val="1"/>
      <w:numFmt w:val="decimal"/>
      <w:lvlText w:val="%1)"/>
      <w:lvlJc w:val="left"/>
      <w:pPr>
        <w:ind w:left="720" w:hanging="360"/>
      </w:pPr>
      <w:rPr>
        <w:rFonts w:hint="default"/>
      </w:rPr>
    </w:lvl>
    <w:lvl w:ilvl="1" w:tplc="4202AD64">
      <w:start w:val="1"/>
      <w:numFmt w:val="lowerLetter"/>
      <w:lvlText w:val="%2)"/>
      <w:lvlJc w:val="left"/>
      <w:pPr>
        <w:ind w:left="1703" w:hanging="62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2C5481"/>
    <w:multiLevelType w:val="hybridMultilevel"/>
    <w:tmpl w:val="6536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D1324"/>
    <w:multiLevelType w:val="hybridMultilevel"/>
    <w:tmpl w:val="E84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070D29"/>
    <w:multiLevelType w:val="hybridMultilevel"/>
    <w:tmpl w:val="130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D134B"/>
    <w:multiLevelType w:val="hybridMultilevel"/>
    <w:tmpl w:val="B620785E"/>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95D09"/>
    <w:multiLevelType w:val="hybridMultilevel"/>
    <w:tmpl w:val="B5B2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2E7E66"/>
    <w:multiLevelType w:val="hybridMultilevel"/>
    <w:tmpl w:val="DF3A3E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C159EB"/>
    <w:multiLevelType w:val="hybridMultilevel"/>
    <w:tmpl w:val="AF1A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31623"/>
    <w:multiLevelType w:val="hybridMultilevel"/>
    <w:tmpl w:val="C60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BED"/>
    <w:multiLevelType w:val="hybridMultilevel"/>
    <w:tmpl w:val="47060A96"/>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D76BC1"/>
    <w:multiLevelType w:val="hybridMultilevel"/>
    <w:tmpl w:val="25E4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9709E1"/>
    <w:multiLevelType w:val="hybridMultilevel"/>
    <w:tmpl w:val="651E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3E3135"/>
    <w:multiLevelType w:val="hybridMultilevel"/>
    <w:tmpl w:val="E3BA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F6516E"/>
    <w:multiLevelType w:val="hybridMultilevel"/>
    <w:tmpl w:val="12E4098E"/>
    <w:lvl w:ilvl="0" w:tplc="E0C0B9C8">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7C638C"/>
    <w:multiLevelType w:val="hybridMultilevel"/>
    <w:tmpl w:val="6826FB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3D3FA6"/>
    <w:multiLevelType w:val="hybridMultilevel"/>
    <w:tmpl w:val="E81AB8EE"/>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D6028"/>
    <w:multiLevelType w:val="hybridMultilevel"/>
    <w:tmpl w:val="8C006080"/>
    <w:lvl w:ilvl="0" w:tplc="DB88A78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DC54B2"/>
    <w:multiLevelType w:val="hybridMultilevel"/>
    <w:tmpl w:val="F6FCC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994292E"/>
    <w:multiLevelType w:val="hybridMultilevel"/>
    <w:tmpl w:val="E9B20D42"/>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338E6"/>
    <w:multiLevelType w:val="hybridMultilevel"/>
    <w:tmpl w:val="8F3C5E12"/>
    <w:lvl w:ilvl="0" w:tplc="081C6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D577A8"/>
    <w:multiLevelType w:val="hybridMultilevel"/>
    <w:tmpl w:val="83586A1E"/>
    <w:lvl w:ilvl="0" w:tplc="E0C0B9C8">
      <w:start w:val="7"/>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2D3954"/>
    <w:multiLevelType w:val="hybridMultilevel"/>
    <w:tmpl w:val="1D0A8146"/>
    <w:lvl w:ilvl="0" w:tplc="08090001">
      <w:start w:val="1"/>
      <w:numFmt w:val="bullet"/>
      <w:lvlText w:val=""/>
      <w:lvlJc w:val="left"/>
      <w:pPr>
        <w:ind w:left="720" w:hanging="360"/>
      </w:pPr>
      <w:rPr>
        <w:rFonts w:ascii="Symbol" w:hAnsi="Symbol" w:hint="default"/>
      </w:rPr>
    </w:lvl>
    <w:lvl w:ilvl="1" w:tplc="E1FC14E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E87068"/>
    <w:multiLevelType w:val="hybridMultilevel"/>
    <w:tmpl w:val="14D0B06A"/>
    <w:lvl w:ilvl="0" w:tplc="E0C0B9C8">
      <w:start w:val="7"/>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C64454"/>
    <w:multiLevelType w:val="hybridMultilevel"/>
    <w:tmpl w:val="0AE8DD2E"/>
    <w:lvl w:ilvl="0" w:tplc="F224024C">
      <w:start w:val="1"/>
      <w:numFmt w:val="bullet"/>
      <w:lvlText w:val="•"/>
      <w:lvlJc w:val="left"/>
      <w:pPr>
        <w:tabs>
          <w:tab w:val="num" w:pos="720"/>
        </w:tabs>
        <w:ind w:left="720" w:hanging="360"/>
      </w:pPr>
      <w:rPr>
        <w:rFonts w:ascii="Arial" w:hAnsi="Arial" w:hint="default"/>
      </w:rPr>
    </w:lvl>
    <w:lvl w:ilvl="1" w:tplc="6FC6A1B8" w:tentative="1">
      <w:start w:val="1"/>
      <w:numFmt w:val="bullet"/>
      <w:lvlText w:val="•"/>
      <w:lvlJc w:val="left"/>
      <w:pPr>
        <w:tabs>
          <w:tab w:val="num" w:pos="1440"/>
        </w:tabs>
        <w:ind w:left="1440" w:hanging="360"/>
      </w:pPr>
      <w:rPr>
        <w:rFonts w:ascii="Arial" w:hAnsi="Arial" w:hint="default"/>
      </w:rPr>
    </w:lvl>
    <w:lvl w:ilvl="2" w:tplc="9D9AA0D2" w:tentative="1">
      <w:start w:val="1"/>
      <w:numFmt w:val="bullet"/>
      <w:lvlText w:val="•"/>
      <w:lvlJc w:val="left"/>
      <w:pPr>
        <w:tabs>
          <w:tab w:val="num" w:pos="2160"/>
        </w:tabs>
        <w:ind w:left="2160" w:hanging="360"/>
      </w:pPr>
      <w:rPr>
        <w:rFonts w:ascii="Arial" w:hAnsi="Arial" w:hint="default"/>
      </w:rPr>
    </w:lvl>
    <w:lvl w:ilvl="3" w:tplc="46E424C0" w:tentative="1">
      <w:start w:val="1"/>
      <w:numFmt w:val="bullet"/>
      <w:lvlText w:val="•"/>
      <w:lvlJc w:val="left"/>
      <w:pPr>
        <w:tabs>
          <w:tab w:val="num" w:pos="2880"/>
        </w:tabs>
        <w:ind w:left="2880" w:hanging="360"/>
      </w:pPr>
      <w:rPr>
        <w:rFonts w:ascii="Arial" w:hAnsi="Arial" w:hint="default"/>
      </w:rPr>
    </w:lvl>
    <w:lvl w:ilvl="4" w:tplc="60D2D9C8" w:tentative="1">
      <w:start w:val="1"/>
      <w:numFmt w:val="bullet"/>
      <w:lvlText w:val="•"/>
      <w:lvlJc w:val="left"/>
      <w:pPr>
        <w:tabs>
          <w:tab w:val="num" w:pos="3600"/>
        </w:tabs>
        <w:ind w:left="3600" w:hanging="360"/>
      </w:pPr>
      <w:rPr>
        <w:rFonts w:ascii="Arial" w:hAnsi="Arial" w:hint="default"/>
      </w:rPr>
    </w:lvl>
    <w:lvl w:ilvl="5" w:tplc="7CB0F1A2" w:tentative="1">
      <w:start w:val="1"/>
      <w:numFmt w:val="bullet"/>
      <w:lvlText w:val="•"/>
      <w:lvlJc w:val="left"/>
      <w:pPr>
        <w:tabs>
          <w:tab w:val="num" w:pos="4320"/>
        </w:tabs>
        <w:ind w:left="4320" w:hanging="360"/>
      </w:pPr>
      <w:rPr>
        <w:rFonts w:ascii="Arial" w:hAnsi="Arial" w:hint="default"/>
      </w:rPr>
    </w:lvl>
    <w:lvl w:ilvl="6" w:tplc="9176C1DA" w:tentative="1">
      <w:start w:val="1"/>
      <w:numFmt w:val="bullet"/>
      <w:lvlText w:val="•"/>
      <w:lvlJc w:val="left"/>
      <w:pPr>
        <w:tabs>
          <w:tab w:val="num" w:pos="5040"/>
        </w:tabs>
        <w:ind w:left="5040" w:hanging="360"/>
      </w:pPr>
      <w:rPr>
        <w:rFonts w:ascii="Arial" w:hAnsi="Arial" w:hint="default"/>
      </w:rPr>
    </w:lvl>
    <w:lvl w:ilvl="7" w:tplc="5FEA06D6" w:tentative="1">
      <w:start w:val="1"/>
      <w:numFmt w:val="bullet"/>
      <w:lvlText w:val="•"/>
      <w:lvlJc w:val="left"/>
      <w:pPr>
        <w:tabs>
          <w:tab w:val="num" w:pos="5760"/>
        </w:tabs>
        <w:ind w:left="5760" w:hanging="360"/>
      </w:pPr>
      <w:rPr>
        <w:rFonts w:ascii="Arial" w:hAnsi="Arial" w:hint="default"/>
      </w:rPr>
    </w:lvl>
    <w:lvl w:ilvl="8" w:tplc="A0D22D16" w:tentative="1">
      <w:start w:val="1"/>
      <w:numFmt w:val="bullet"/>
      <w:lvlText w:val="•"/>
      <w:lvlJc w:val="left"/>
      <w:pPr>
        <w:tabs>
          <w:tab w:val="num" w:pos="6480"/>
        </w:tabs>
        <w:ind w:left="6480" w:hanging="360"/>
      </w:pPr>
      <w:rPr>
        <w:rFonts w:ascii="Arial" w:hAnsi="Arial" w:hint="default"/>
      </w:rPr>
    </w:lvl>
  </w:abstractNum>
  <w:abstractNum w:abstractNumId="27">
    <w:nsid w:val="530125A7"/>
    <w:multiLevelType w:val="multilevel"/>
    <w:tmpl w:val="AAD68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F27A6A"/>
    <w:multiLevelType w:val="hybridMultilevel"/>
    <w:tmpl w:val="2DA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170F21"/>
    <w:multiLevelType w:val="hybridMultilevel"/>
    <w:tmpl w:val="34923234"/>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142F6F"/>
    <w:multiLevelType w:val="hybridMultilevel"/>
    <w:tmpl w:val="F5B25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31C621C"/>
    <w:multiLevelType w:val="hybridMultilevel"/>
    <w:tmpl w:val="86CE0038"/>
    <w:lvl w:ilvl="0" w:tplc="8F58B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6A1AC0"/>
    <w:multiLevelType w:val="hybridMultilevel"/>
    <w:tmpl w:val="EA02E4EE"/>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8F4A71"/>
    <w:multiLevelType w:val="hybridMultilevel"/>
    <w:tmpl w:val="3DD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896860"/>
    <w:multiLevelType w:val="hybridMultilevel"/>
    <w:tmpl w:val="D636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06DD6"/>
    <w:multiLevelType w:val="hybridMultilevel"/>
    <w:tmpl w:val="8D8E0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907A8B"/>
    <w:multiLevelType w:val="hybridMultilevel"/>
    <w:tmpl w:val="6E60B1C4"/>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4"/>
  </w:num>
  <w:num w:numId="4">
    <w:abstractNumId w:val="10"/>
  </w:num>
  <w:num w:numId="5">
    <w:abstractNumId w:val="13"/>
  </w:num>
  <w:num w:numId="6">
    <w:abstractNumId w:val="4"/>
  </w:num>
  <w:num w:numId="7">
    <w:abstractNumId w:val="11"/>
  </w:num>
  <w:num w:numId="8">
    <w:abstractNumId w:val="33"/>
  </w:num>
  <w:num w:numId="9">
    <w:abstractNumId w:val="24"/>
  </w:num>
  <w:num w:numId="10">
    <w:abstractNumId w:val="8"/>
  </w:num>
  <w:num w:numId="11">
    <w:abstractNumId w:val="34"/>
  </w:num>
  <w:num w:numId="12">
    <w:abstractNumId w:val="30"/>
  </w:num>
  <w:num w:numId="13">
    <w:abstractNumId w:val="28"/>
  </w:num>
  <w:num w:numId="14">
    <w:abstractNumId w:val="26"/>
  </w:num>
  <w:num w:numId="15">
    <w:abstractNumId w:val="20"/>
  </w:num>
  <w:num w:numId="16">
    <w:abstractNumId w:val="1"/>
  </w:num>
  <w:num w:numId="17">
    <w:abstractNumId w:val="5"/>
  </w:num>
  <w:num w:numId="18">
    <w:abstractNumId w:val="36"/>
  </w:num>
  <w:num w:numId="19">
    <w:abstractNumId w:val="7"/>
  </w:num>
  <w:num w:numId="20">
    <w:abstractNumId w:val="29"/>
  </w:num>
  <w:num w:numId="21">
    <w:abstractNumId w:val="15"/>
  </w:num>
  <w:num w:numId="22">
    <w:abstractNumId w:val="3"/>
  </w:num>
  <w:num w:numId="23">
    <w:abstractNumId w:val="18"/>
  </w:num>
  <w:num w:numId="24">
    <w:abstractNumId w:val="32"/>
  </w:num>
  <w:num w:numId="25">
    <w:abstractNumId w:val="21"/>
  </w:num>
  <w:num w:numId="26">
    <w:abstractNumId w:val="12"/>
  </w:num>
  <w:num w:numId="27">
    <w:abstractNumId w:val="35"/>
  </w:num>
  <w:num w:numId="28">
    <w:abstractNumId w:val="25"/>
  </w:num>
  <w:num w:numId="29">
    <w:abstractNumId w:val="23"/>
  </w:num>
  <w:num w:numId="30">
    <w:abstractNumId w:val="16"/>
  </w:num>
  <w:num w:numId="31">
    <w:abstractNumId w:val="0"/>
  </w:num>
  <w:num w:numId="32">
    <w:abstractNumId w:val="9"/>
  </w:num>
  <w:num w:numId="33">
    <w:abstractNumId w:val="17"/>
  </w:num>
  <w:num w:numId="34">
    <w:abstractNumId w:val="22"/>
  </w:num>
  <w:num w:numId="35">
    <w:abstractNumId w:val="31"/>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32"/>
    <w:rsid w:val="00006DBA"/>
    <w:rsid w:val="00012127"/>
    <w:rsid w:val="0002275A"/>
    <w:rsid w:val="00054A17"/>
    <w:rsid w:val="0006185F"/>
    <w:rsid w:val="0006417B"/>
    <w:rsid w:val="0007036D"/>
    <w:rsid w:val="00076EF2"/>
    <w:rsid w:val="000A4624"/>
    <w:rsid w:val="000A47C1"/>
    <w:rsid w:val="000F54A3"/>
    <w:rsid w:val="0010463C"/>
    <w:rsid w:val="0010668C"/>
    <w:rsid w:val="00124DC1"/>
    <w:rsid w:val="00146886"/>
    <w:rsid w:val="00167B57"/>
    <w:rsid w:val="001708AD"/>
    <w:rsid w:val="00193269"/>
    <w:rsid w:val="001934D5"/>
    <w:rsid w:val="001A6F8D"/>
    <w:rsid w:val="001B2576"/>
    <w:rsid w:val="001B2DA8"/>
    <w:rsid w:val="001B34E3"/>
    <w:rsid w:val="001B4EA6"/>
    <w:rsid w:val="001D29F4"/>
    <w:rsid w:val="00214B5E"/>
    <w:rsid w:val="00235D9B"/>
    <w:rsid w:val="00241E00"/>
    <w:rsid w:val="00245CA0"/>
    <w:rsid w:val="00266B14"/>
    <w:rsid w:val="00282805"/>
    <w:rsid w:val="002A0315"/>
    <w:rsid w:val="002C3B7A"/>
    <w:rsid w:val="002C7329"/>
    <w:rsid w:val="002D5A8A"/>
    <w:rsid w:val="002E4057"/>
    <w:rsid w:val="002F1C9D"/>
    <w:rsid w:val="002F7B98"/>
    <w:rsid w:val="00322F94"/>
    <w:rsid w:val="003475F8"/>
    <w:rsid w:val="003738D8"/>
    <w:rsid w:val="0037632E"/>
    <w:rsid w:val="003A5495"/>
    <w:rsid w:val="003B416E"/>
    <w:rsid w:val="003B5EA6"/>
    <w:rsid w:val="0043405D"/>
    <w:rsid w:val="004570F8"/>
    <w:rsid w:val="004603D7"/>
    <w:rsid w:val="0047497E"/>
    <w:rsid w:val="00475BCE"/>
    <w:rsid w:val="004D35CA"/>
    <w:rsid w:val="004E258F"/>
    <w:rsid w:val="004E4661"/>
    <w:rsid w:val="00527CB8"/>
    <w:rsid w:val="00575286"/>
    <w:rsid w:val="0057724F"/>
    <w:rsid w:val="005A1893"/>
    <w:rsid w:val="005B7BF0"/>
    <w:rsid w:val="005E6F38"/>
    <w:rsid w:val="005F014E"/>
    <w:rsid w:val="0064772D"/>
    <w:rsid w:val="00696775"/>
    <w:rsid w:val="006C6F0C"/>
    <w:rsid w:val="006D3148"/>
    <w:rsid w:val="006D4825"/>
    <w:rsid w:val="006D4C52"/>
    <w:rsid w:val="006D7066"/>
    <w:rsid w:val="006E14D6"/>
    <w:rsid w:val="006F7867"/>
    <w:rsid w:val="0070743A"/>
    <w:rsid w:val="00723EAC"/>
    <w:rsid w:val="007424E6"/>
    <w:rsid w:val="00767BE7"/>
    <w:rsid w:val="0077518E"/>
    <w:rsid w:val="00776FE1"/>
    <w:rsid w:val="00783D8A"/>
    <w:rsid w:val="007C198D"/>
    <w:rsid w:val="007C2C89"/>
    <w:rsid w:val="007D0E1D"/>
    <w:rsid w:val="007D5DA5"/>
    <w:rsid w:val="007F5711"/>
    <w:rsid w:val="008143CB"/>
    <w:rsid w:val="00831D30"/>
    <w:rsid w:val="008474D3"/>
    <w:rsid w:val="008557E5"/>
    <w:rsid w:val="00863C41"/>
    <w:rsid w:val="00865F59"/>
    <w:rsid w:val="008A39D5"/>
    <w:rsid w:val="008D00CE"/>
    <w:rsid w:val="0090320A"/>
    <w:rsid w:val="00910A66"/>
    <w:rsid w:val="00914B74"/>
    <w:rsid w:val="009201C7"/>
    <w:rsid w:val="00932256"/>
    <w:rsid w:val="00934D45"/>
    <w:rsid w:val="00956497"/>
    <w:rsid w:val="00956D82"/>
    <w:rsid w:val="00960332"/>
    <w:rsid w:val="009B12D9"/>
    <w:rsid w:val="009C5082"/>
    <w:rsid w:val="009C50B5"/>
    <w:rsid w:val="009C77F4"/>
    <w:rsid w:val="00A13363"/>
    <w:rsid w:val="00A727F8"/>
    <w:rsid w:val="00A75EE1"/>
    <w:rsid w:val="00A86759"/>
    <w:rsid w:val="00A96559"/>
    <w:rsid w:val="00AC60EA"/>
    <w:rsid w:val="00AC73B4"/>
    <w:rsid w:val="00AE702E"/>
    <w:rsid w:val="00B05FCE"/>
    <w:rsid w:val="00B14239"/>
    <w:rsid w:val="00B2000D"/>
    <w:rsid w:val="00B2109F"/>
    <w:rsid w:val="00B30B29"/>
    <w:rsid w:val="00B3422F"/>
    <w:rsid w:val="00B85483"/>
    <w:rsid w:val="00B94A23"/>
    <w:rsid w:val="00BB3561"/>
    <w:rsid w:val="00BB6661"/>
    <w:rsid w:val="00BC6569"/>
    <w:rsid w:val="00C11486"/>
    <w:rsid w:val="00C3108D"/>
    <w:rsid w:val="00C9098E"/>
    <w:rsid w:val="00C9227B"/>
    <w:rsid w:val="00CD56DA"/>
    <w:rsid w:val="00CD78EA"/>
    <w:rsid w:val="00CE7EF3"/>
    <w:rsid w:val="00D333E3"/>
    <w:rsid w:val="00D95E08"/>
    <w:rsid w:val="00DA60FB"/>
    <w:rsid w:val="00DE3369"/>
    <w:rsid w:val="00E26159"/>
    <w:rsid w:val="00E6097E"/>
    <w:rsid w:val="00E61C3F"/>
    <w:rsid w:val="00E6356D"/>
    <w:rsid w:val="00E663A1"/>
    <w:rsid w:val="00E66412"/>
    <w:rsid w:val="00E743C5"/>
    <w:rsid w:val="00E77EF4"/>
    <w:rsid w:val="00EB0115"/>
    <w:rsid w:val="00EB04F6"/>
    <w:rsid w:val="00ED0504"/>
    <w:rsid w:val="00EE72B5"/>
    <w:rsid w:val="00F211E5"/>
    <w:rsid w:val="00F2467B"/>
    <w:rsid w:val="00F34156"/>
    <w:rsid w:val="00F66787"/>
    <w:rsid w:val="00F73EF2"/>
    <w:rsid w:val="00F96785"/>
    <w:rsid w:val="00F973C9"/>
    <w:rsid w:val="00FA26D0"/>
    <w:rsid w:val="00FA2919"/>
    <w:rsid w:val="00FA6279"/>
    <w:rsid w:val="00FD354D"/>
    <w:rsid w:val="00FF0BAE"/>
    <w:rsid w:val="00FF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1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60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E1"/>
    <w:pPr>
      <w:ind w:left="720"/>
      <w:contextualSpacing/>
    </w:pPr>
  </w:style>
  <w:style w:type="character" w:styleId="Hyperlink">
    <w:name w:val="Hyperlink"/>
    <w:basedOn w:val="DefaultParagraphFont"/>
    <w:uiPriority w:val="99"/>
    <w:unhideWhenUsed/>
    <w:rsid w:val="00956497"/>
    <w:rPr>
      <w:color w:val="0563C1" w:themeColor="hyperlink"/>
      <w:u w:val="single"/>
    </w:rPr>
  </w:style>
  <w:style w:type="character" w:customStyle="1" w:styleId="UnresolvedMention">
    <w:name w:val="Unresolved Mention"/>
    <w:basedOn w:val="DefaultParagraphFont"/>
    <w:uiPriority w:val="99"/>
    <w:semiHidden/>
    <w:unhideWhenUsed/>
    <w:rsid w:val="00956497"/>
    <w:rPr>
      <w:color w:val="808080"/>
      <w:shd w:val="clear" w:color="auto" w:fill="E6E6E6"/>
    </w:rPr>
  </w:style>
  <w:style w:type="paragraph" w:styleId="Header">
    <w:name w:val="header"/>
    <w:basedOn w:val="Normal"/>
    <w:link w:val="HeaderChar"/>
    <w:uiPriority w:val="99"/>
    <w:unhideWhenUsed/>
    <w:rsid w:val="00956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97"/>
  </w:style>
  <w:style w:type="paragraph" w:styleId="Footer">
    <w:name w:val="footer"/>
    <w:basedOn w:val="Normal"/>
    <w:link w:val="FooterChar"/>
    <w:uiPriority w:val="99"/>
    <w:unhideWhenUsed/>
    <w:rsid w:val="00956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97"/>
  </w:style>
  <w:style w:type="table" w:styleId="TableGrid">
    <w:name w:val="Table Grid"/>
    <w:basedOn w:val="TableNormal"/>
    <w:uiPriority w:val="39"/>
    <w:rsid w:val="0084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5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0B5"/>
    <w:rPr>
      <w:sz w:val="20"/>
      <w:szCs w:val="20"/>
    </w:rPr>
  </w:style>
  <w:style w:type="character" w:styleId="FootnoteReference">
    <w:name w:val="footnote reference"/>
    <w:basedOn w:val="DefaultParagraphFont"/>
    <w:uiPriority w:val="99"/>
    <w:semiHidden/>
    <w:unhideWhenUsed/>
    <w:rsid w:val="009C50B5"/>
    <w:rPr>
      <w:vertAlign w:val="superscript"/>
    </w:rPr>
  </w:style>
  <w:style w:type="character" w:customStyle="1" w:styleId="Heading1Char">
    <w:name w:val="Heading 1 Char"/>
    <w:basedOn w:val="DefaultParagraphFont"/>
    <w:link w:val="Heading1"/>
    <w:uiPriority w:val="9"/>
    <w:rsid w:val="00A133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3363"/>
    <w:pPr>
      <w:outlineLvl w:val="9"/>
    </w:pPr>
    <w:rPr>
      <w:lang w:val="en-US"/>
    </w:rPr>
  </w:style>
  <w:style w:type="paragraph" w:styleId="TOC1">
    <w:name w:val="toc 1"/>
    <w:basedOn w:val="Normal"/>
    <w:next w:val="Normal"/>
    <w:autoRedefine/>
    <w:uiPriority w:val="39"/>
    <w:unhideWhenUsed/>
    <w:rsid w:val="00A13363"/>
    <w:pPr>
      <w:spacing w:after="100"/>
    </w:pPr>
  </w:style>
  <w:style w:type="paragraph" w:styleId="BalloonText">
    <w:name w:val="Balloon Text"/>
    <w:basedOn w:val="Normal"/>
    <w:link w:val="BalloonTextChar"/>
    <w:uiPriority w:val="99"/>
    <w:semiHidden/>
    <w:unhideWhenUsed/>
    <w:rsid w:val="00EB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15"/>
    <w:rPr>
      <w:rFonts w:ascii="Segoe UI" w:hAnsi="Segoe UI" w:cs="Segoe UI"/>
      <w:sz w:val="18"/>
      <w:szCs w:val="18"/>
    </w:rPr>
  </w:style>
  <w:style w:type="character" w:styleId="CommentReference">
    <w:name w:val="annotation reference"/>
    <w:basedOn w:val="DefaultParagraphFont"/>
    <w:uiPriority w:val="99"/>
    <w:semiHidden/>
    <w:unhideWhenUsed/>
    <w:rsid w:val="009C77F4"/>
    <w:rPr>
      <w:sz w:val="16"/>
      <w:szCs w:val="16"/>
    </w:rPr>
  </w:style>
  <w:style w:type="paragraph" w:styleId="CommentText">
    <w:name w:val="annotation text"/>
    <w:basedOn w:val="Normal"/>
    <w:link w:val="CommentTextChar"/>
    <w:uiPriority w:val="99"/>
    <w:semiHidden/>
    <w:unhideWhenUsed/>
    <w:rsid w:val="009C77F4"/>
    <w:pPr>
      <w:spacing w:line="240" w:lineRule="auto"/>
    </w:pPr>
    <w:rPr>
      <w:sz w:val="20"/>
      <w:szCs w:val="20"/>
    </w:rPr>
  </w:style>
  <w:style w:type="character" w:customStyle="1" w:styleId="CommentTextChar">
    <w:name w:val="Comment Text Char"/>
    <w:basedOn w:val="DefaultParagraphFont"/>
    <w:link w:val="CommentText"/>
    <w:uiPriority w:val="99"/>
    <w:semiHidden/>
    <w:rsid w:val="009C77F4"/>
    <w:rPr>
      <w:sz w:val="20"/>
      <w:szCs w:val="20"/>
    </w:rPr>
  </w:style>
  <w:style w:type="paragraph" w:styleId="CommentSubject">
    <w:name w:val="annotation subject"/>
    <w:basedOn w:val="CommentText"/>
    <w:next w:val="CommentText"/>
    <w:link w:val="CommentSubjectChar"/>
    <w:uiPriority w:val="99"/>
    <w:semiHidden/>
    <w:unhideWhenUsed/>
    <w:rsid w:val="009C77F4"/>
    <w:rPr>
      <w:b/>
      <w:bCs/>
    </w:rPr>
  </w:style>
  <w:style w:type="character" w:customStyle="1" w:styleId="CommentSubjectChar">
    <w:name w:val="Comment Subject Char"/>
    <w:basedOn w:val="CommentTextChar"/>
    <w:link w:val="CommentSubject"/>
    <w:uiPriority w:val="99"/>
    <w:semiHidden/>
    <w:rsid w:val="009C77F4"/>
    <w:rPr>
      <w:b/>
      <w:bCs/>
      <w:sz w:val="20"/>
      <w:szCs w:val="20"/>
    </w:rPr>
  </w:style>
  <w:style w:type="character" w:customStyle="1" w:styleId="Heading3Char">
    <w:name w:val="Heading 3 Char"/>
    <w:basedOn w:val="DefaultParagraphFont"/>
    <w:link w:val="Heading3"/>
    <w:uiPriority w:val="9"/>
    <w:semiHidden/>
    <w:rsid w:val="004603D7"/>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60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E1"/>
    <w:pPr>
      <w:ind w:left="720"/>
      <w:contextualSpacing/>
    </w:pPr>
  </w:style>
  <w:style w:type="character" w:styleId="Hyperlink">
    <w:name w:val="Hyperlink"/>
    <w:basedOn w:val="DefaultParagraphFont"/>
    <w:uiPriority w:val="99"/>
    <w:unhideWhenUsed/>
    <w:rsid w:val="00956497"/>
    <w:rPr>
      <w:color w:val="0563C1" w:themeColor="hyperlink"/>
      <w:u w:val="single"/>
    </w:rPr>
  </w:style>
  <w:style w:type="character" w:customStyle="1" w:styleId="UnresolvedMention">
    <w:name w:val="Unresolved Mention"/>
    <w:basedOn w:val="DefaultParagraphFont"/>
    <w:uiPriority w:val="99"/>
    <w:semiHidden/>
    <w:unhideWhenUsed/>
    <w:rsid w:val="00956497"/>
    <w:rPr>
      <w:color w:val="808080"/>
      <w:shd w:val="clear" w:color="auto" w:fill="E6E6E6"/>
    </w:rPr>
  </w:style>
  <w:style w:type="paragraph" w:styleId="Header">
    <w:name w:val="header"/>
    <w:basedOn w:val="Normal"/>
    <w:link w:val="HeaderChar"/>
    <w:uiPriority w:val="99"/>
    <w:unhideWhenUsed/>
    <w:rsid w:val="00956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97"/>
  </w:style>
  <w:style w:type="paragraph" w:styleId="Footer">
    <w:name w:val="footer"/>
    <w:basedOn w:val="Normal"/>
    <w:link w:val="FooterChar"/>
    <w:uiPriority w:val="99"/>
    <w:unhideWhenUsed/>
    <w:rsid w:val="00956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97"/>
  </w:style>
  <w:style w:type="table" w:styleId="TableGrid">
    <w:name w:val="Table Grid"/>
    <w:basedOn w:val="TableNormal"/>
    <w:uiPriority w:val="39"/>
    <w:rsid w:val="0084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5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0B5"/>
    <w:rPr>
      <w:sz w:val="20"/>
      <w:szCs w:val="20"/>
    </w:rPr>
  </w:style>
  <w:style w:type="character" w:styleId="FootnoteReference">
    <w:name w:val="footnote reference"/>
    <w:basedOn w:val="DefaultParagraphFont"/>
    <w:uiPriority w:val="99"/>
    <w:semiHidden/>
    <w:unhideWhenUsed/>
    <w:rsid w:val="009C50B5"/>
    <w:rPr>
      <w:vertAlign w:val="superscript"/>
    </w:rPr>
  </w:style>
  <w:style w:type="character" w:customStyle="1" w:styleId="Heading1Char">
    <w:name w:val="Heading 1 Char"/>
    <w:basedOn w:val="DefaultParagraphFont"/>
    <w:link w:val="Heading1"/>
    <w:uiPriority w:val="9"/>
    <w:rsid w:val="00A133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3363"/>
    <w:pPr>
      <w:outlineLvl w:val="9"/>
    </w:pPr>
    <w:rPr>
      <w:lang w:val="en-US"/>
    </w:rPr>
  </w:style>
  <w:style w:type="paragraph" w:styleId="TOC1">
    <w:name w:val="toc 1"/>
    <w:basedOn w:val="Normal"/>
    <w:next w:val="Normal"/>
    <w:autoRedefine/>
    <w:uiPriority w:val="39"/>
    <w:unhideWhenUsed/>
    <w:rsid w:val="00A13363"/>
    <w:pPr>
      <w:spacing w:after="100"/>
    </w:pPr>
  </w:style>
  <w:style w:type="paragraph" w:styleId="BalloonText">
    <w:name w:val="Balloon Text"/>
    <w:basedOn w:val="Normal"/>
    <w:link w:val="BalloonTextChar"/>
    <w:uiPriority w:val="99"/>
    <w:semiHidden/>
    <w:unhideWhenUsed/>
    <w:rsid w:val="00EB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15"/>
    <w:rPr>
      <w:rFonts w:ascii="Segoe UI" w:hAnsi="Segoe UI" w:cs="Segoe UI"/>
      <w:sz w:val="18"/>
      <w:szCs w:val="18"/>
    </w:rPr>
  </w:style>
  <w:style w:type="character" w:styleId="CommentReference">
    <w:name w:val="annotation reference"/>
    <w:basedOn w:val="DefaultParagraphFont"/>
    <w:uiPriority w:val="99"/>
    <w:semiHidden/>
    <w:unhideWhenUsed/>
    <w:rsid w:val="009C77F4"/>
    <w:rPr>
      <w:sz w:val="16"/>
      <w:szCs w:val="16"/>
    </w:rPr>
  </w:style>
  <w:style w:type="paragraph" w:styleId="CommentText">
    <w:name w:val="annotation text"/>
    <w:basedOn w:val="Normal"/>
    <w:link w:val="CommentTextChar"/>
    <w:uiPriority w:val="99"/>
    <w:semiHidden/>
    <w:unhideWhenUsed/>
    <w:rsid w:val="009C77F4"/>
    <w:pPr>
      <w:spacing w:line="240" w:lineRule="auto"/>
    </w:pPr>
    <w:rPr>
      <w:sz w:val="20"/>
      <w:szCs w:val="20"/>
    </w:rPr>
  </w:style>
  <w:style w:type="character" w:customStyle="1" w:styleId="CommentTextChar">
    <w:name w:val="Comment Text Char"/>
    <w:basedOn w:val="DefaultParagraphFont"/>
    <w:link w:val="CommentText"/>
    <w:uiPriority w:val="99"/>
    <w:semiHidden/>
    <w:rsid w:val="009C77F4"/>
    <w:rPr>
      <w:sz w:val="20"/>
      <w:szCs w:val="20"/>
    </w:rPr>
  </w:style>
  <w:style w:type="paragraph" w:styleId="CommentSubject">
    <w:name w:val="annotation subject"/>
    <w:basedOn w:val="CommentText"/>
    <w:next w:val="CommentText"/>
    <w:link w:val="CommentSubjectChar"/>
    <w:uiPriority w:val="99"/>
    <w:semiHidden/>
    <w:unhideWhenUsed/>
    <w:rsid w:val="009C77F4"/>
    <w:rPr>
      <w:b/>
      <w:bCs/>
    </w:rPr>
  </w:style>
  <w:style w:type="character" w:customStyle="1" w:styleId="CommentSubjectChar">
    <w:name w:val="Comment Subject Char"/>
    <w:basedOn w:val="CommentTextChar"/>
    <w:link w:val="CommentSubject"/>
    <w:uiPriority w:val="99"/>
    <w:semiHidden/>
    <w:rsid w:val="009C77F4"/>
    <w:rPr>
      <w:b/>
      <w:bCs/>
      <w:sz w:val="20"/>
      <w:szCs w:val="20"/>
    </w:rPr>
  </w:style>
  <w:style w:type="character" w:customStyle="1" w:styleId="Heading3Char">
    <w:name w:val="Heading 3 Char"/>
    <w:basedOn w:val="DefaultParagraphFont"/>
    <w:link w:val="Heading3"/>
    <w:uiPriority w:val="9"/>
    <w:semiHidden/>
    <w:rsid w:val="004603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7379">
      <w:bodyDiv w:val="1"/>
      <w:marLeft w:val="0"/>
      <w:marRight w:val="0"/>
      <w:marTop w:val="0"/>
      <w:marBottom w:val="0"/>
      <w:divBdr>
        <w:top w:val="none" w:sz="0" w:space="0" w:color="auto"/>
        <w:left w:val="none" w:sz="0" w:space="0" w:color="auto"/>
        <w:bottom w:val="none" w:sz="0" w:space="0" w:color="auto"/>
        <w:right w:val="none" w:sz="0" w:space="0" w:color="auto"/>
      </w:divBdr>
      <w:divsChild>
        <w:div w:id="155146495">
          <w:marLeft w:val="360"/>
          <w:marRight w:val="0"/>
          <w:marTop w:val="200"/>
          <w:marBottom w:val="0"/>
          <w:divBdr>
            <w:top w:val="none" w:sz="0" w:space="0" w:color="auto"/>
            <w:left w:val="none" w:sz="0" w:space="0" w:color="auto"/>
            <w:bottom w:val="none" w:sz="0" w:space="0" w:color="auto"/>
            <w:right w:val="none" w:sz="0" w:space="0" w:color="auto"/>
          </w:divBdr>
        </w:div>
        <w:div w:id="1354768956">
          <w:marLeft w:val="360"/>
          <w:marRight w:val="0"/>
          <w:marTop w:val="200"/>
          <w:marBottom w:val="0"/>
          <w:divBdr>
            <w:top w:val="none" w:sz="0" w:space="0" w:color="auto"/>
            <w:left w:val="none" w:sz="0" w:space="0" w:color="auto"/>
            <w:bottom w:val="none" w:sz="0" w:space="0" w:color="auto"/>
            <w:right w:val="none" w:sz="0" w:space="0" w:color="auto"/>
          </w:divBdr>
        </w:div>
        <w:div w:id="1735078736">
          <w:marLeft w:val="360"/>
          <w:marRight w:val="0"/>
          <w:marTop w:val="200"/>
          <w:marBottom w:val="0"/>
          <w:divBdr>
            <w:top w:val="none" w:sz="0" w:space="0" w:color="auto"/>
            <w:left w:val="none" w:sz="0" w:space="0" w:color="auto"/>
            <w:bottom w:val="none" w:sz="0" w:space="0" w:color="auto"/>
            <w:right w:val="none" w:sz="0" w:space="0" w:color="auto"/>
          </w:divBdr>
        </w:div>
        <w:div w:id="300889854">
          <w:marLeft w:val="360"/>
          <w:marRight w:val="0"/>
          <w:marTop w:val="200"/>
          <w:marBottom w:val="0"/>
          <w:divBdr>
            <w:top w:val="none" w:sz="0" w:space="0" w:color="auto"/>
            <w:left w:val="none" w:sz="0" w:space="0" w:color="auto"/>
            <w:bottom w:val="none" w:sz="0" w:space="0" w:color="auto"/>
            <w:right w:val="none" w:sz="0" w:space="0" w:color="auto"/>
          </w:divBdr>
        </w:div>
        <w:div w:id="154492003">
          <w:marLeft w:val="360"/>
          <w:marRight w:val="0"/>
          <w:marTop w:val="200"/>
          <w:marBottom w:val="0"/>
          <w:divBdr>
            <w:top w:val="none" w:sz="0" w:space="0" w:color="auto"/>
            <w:left w:val="none" w:sz="0" w:space="0" w:color="auto"/>
            <w:bottom w:val="none" w:sz="0" w:space="0" w:color="auto"/>
            <w:right w:val="none" w:sz="0" w:space="0" w:color="auto"/>
          </w:divBdr>
        </w:div>
        <w:div w:id="108286602">
          <w:marLeft w:val="360"/>
          <w:marRight w:val="0"/>
          <w:marTop w:val="200"/>
          <w:marBottom w:val="0"/>
          <w:divBdr>
            <w:top w:val="none" w:sz="0" w:space="0" w:color="auto"/>
            <w:left w:val="none" w:sz="0" w:space="0" w:color="auto"/>
            <w:bottom w:val="none" w:sz="0" w:space="0" w:color="auto"/>
            <w:right w:val="none" w:sz="0" w:space="0" w:color="auto"/>
          </w:divBdr>
        </w:div>
      </w:divsChild>
    </w:div>
    <w:div w:id="825047350">
      <w:bodyDiv w:val="1"/>
      <w:marLeft w:val="0"/>
      <w:marRight w:val="0"/>
      <w:marTop w:val="0"/>
      <w:marBottom w:val="0"/>
      <w:divBdr>
        <w:top w:val="none" w:sz="0" w:space="0" w:color="auto"/>
        <w:left w:val="none" w:sz="0" w:space="0" w:color="auto"/>
        <w:bottom w:val="none" w:sz="0" w:space="0" w:color="auto"/>
        <w:right w:val="none" w:sz="0" w:space="0" w:color="auto"/>
      </w:divBdr>
    </w:div>
    <w:div w:id="10458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m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comos.org/en/newsletters-archives/116-english-categories/resources/publications/258-monumentsasites-xii" TargetMode="External"/><Relationship Id="rId7" Type="http://schemas.openxmlformats.org/officeDocument/2006/relationships/hyperlink" Target="https://www.coe.int/en/web/culture-and-heritage/strategy-21-k" TargetMode="External"/><Relationship Id="rId2" Type="http://schemas.openxmlformats.org/officeDocument/2006/relationships/hyperlink" Target="http://icom.museum/the-vision/strategic-plan/" TargetMode="External"/><Relationship Id="rId1" Type="http://schemas.openxmlformats.org/officeDocument/2006/relationships/hyperlink" Target="https://ec.europa.eu/assets/jrc/events/20131024-cci/20131024-cci-sacco.pdf" TargetMode="External"/><Relationship Id="rId6" Type="http://schemas.openxmlformats.org/officeDocument/2006/relationships/hyperlink" Target="http://strategy2020.europeana.eu/update/" TargetMode="External"/><Relationship Id="rId5" Type="http://schemas.openxmlformats.org/officeDocument/2006/relationships/hyperlink" Target="https://en.unesco.org/system/files/private_documents/strategy_comprehensive_en_0.pdf" TargetMode="External"/><Relationship Id="rId4" Type="http://schemas.openxmlformats.org/officeDocument/2006/relationships/hyperlink" Target="https://www.google.com.cy/search?q=future+action+plan+nemo&amp;oq=future+action+plan+nemo&amp;aqs=chrome..69i57.6382j0j4&amp;sourceid=chrome&amp;ie=UTF-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9C0B-7486-468F-8D35-4C81CB89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 Davies</dc:creator>
  <cp:keywords/>
  <dc:description/>
  <cp:lastModifiedBy>Christiana Polycarpou</cp:lastModifiedBy>
  <cp:revision>8</cp:revision>
  <cp:lastPrinted>2018-05-14T10:41:00Z</cp:lastPrinted>
  <dcterms:created xsi:type="dcterms:W3CDTF">2018-05-29T09:40:00Z</dcterms:created>
  <dcterms:modified xsi:type="dcterms:W3CDTF">2018-06-12T13:04:00Z</dcterms:modified>
</cp:coreProperties>
</file>